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89" w:rsidRDefault="00021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Образцы тестов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экзаменационных билетов для ГИА с эталонами ответов</w:t>
      </w:r>
    </w:p>
    <w:p w:rsidR="00A51889" w:rsidRDefault="00A518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212"/>
        <w:gridCol w:w="7542"/>
      </w:tblGrid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АЛЛЕРГИЧЕСКОМ РИНИТЕ ИНТЕРМИТТИРУЮЩЕГО ТЕЧЕНИЯ  СИМПТОМЫ НАБЛЮДАЮТСЯ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4-х дней в неделю или менее 4-х недель в году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1-го раза в неделю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4-х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 или более 4-х недель в году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1-го раза в неделю, но менее 1 раза в день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Аллергический ринит является факторм риска развития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атопической бронхиальной астмы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экзогенного аллергического альвеолита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Бронхоэктатической болезни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гранулематозной болезни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КОЖНЫЕ ПРОБЫ С АЛЛЕРГЕНАМИ ПРОВОДЯТСЯ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процедурном аллергологическом кабинете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кабинете врача-стоматолога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кабинете функциональной диагностики 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кабинете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врача-дерматолога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КОЖНЫЕ ПРОБЫ С АЛЛЕРГЕНАМИ ВЫЯВЛЯЮТ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специфические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-антитела на тучных клетках 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неспецифическую либерацию гистамина 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гистамина в крови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рецепторы для гистамина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АТОПИЧЕСКАЯ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БРОНХИАЛЬНАЯ АСТМА-ЭТО ХРОНИЧЕСКОЕ ВОСПАЛИТЕЛЬНОЕ ЗАБОЛЕВАНИЕ ДЫХАТЕЛЬНЫХ ПУТЕЙ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аллергической этиологии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протозойной этиологии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бактериальной этиологии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хламидийной этиологии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ХАРАКТЕРНОЙ ЧЕРТОЙ БРОНХИАЛЬНОЙ АСТМЫ ЯВЛЯЕТСЯ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обратимая бронхиальная обструкция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необратимая бронхиальная обструкция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легочное кровотечение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гнойной мокроты в большом количестве в утренние часы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ФАКТОРОМ РИСКА РАЗВИТИЯ АТОПИЧЕСКОЙ БРОНХИАЛЬНОЙ АСТМЫ ЯВЛЯЕТСЯ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аллергический ринит 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хроническая идиопатическая крапивница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муковисцедоз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наследственный ангиотек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ОБЯЗАТЕЛЬНОМУ ИНСТРУМЕНТАЛЬНОМУ МЕТОДУ ИССЛЕДОВАНИЯ ПРИ ДИАГНОСТИКЕ БРОНХИАЛЬНОЙ АСТМЫ ОТНОСИТСЯ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ФВД с проведением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теста с бета 2 – адреномиметиком короткого действия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ФВД с проведением теста с бета 2 – адреномиметиком длительного действия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бронхоскопия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ФВД с проведением теста с холинолитиком 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ПИКФЛОУМЕТРИИ ОПРЕДЕЛЯЮТ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пиковую скорость выдоха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форсированную жизненную емкость легких</w:t>
            </w:r>
          </w:p>
        </w:tc>
      </w:tr>
      <w:tr w:rsidR="00A51889">
        <w:trPr>
          <w:jc w:val="center"/>
        </w:trPr>
        <w:tc>
          <w:tcPr>
            <w:tcW w:w="659" w:type="dxa"/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форсированного выдоха за первую секунду </w:t>
            </w:r>
          </w:p>
        </w:tc>
      </w:tr>
      <w:tr w:rsidR="00A518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Тиффно</w:t>
            </w:r>
          </w:p>
        </w:tc>
      </w:tr>
      <w:tr w:rsidR="00A518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ИНГАЛЯЦИОННОЙ ПРОБЫ  С ЦЕЛЬЮ ВЫЯВЛЕНИЯ ОБРАТИМОСТИ БРОНХИАЛЬНОЙ ОБСТРУКЦИИ ИСПОЛЬЗУЕТСЯ </w:t>
            </w:r>
          </w:p>
        </w:tc>
      </w:tr>
      <w:tr w:rsidR="00A518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сальбутамол</w:t>
            </w:r>
          </w:p>
        </w:tc>
      </w:tr>
      <w:tr w:rsidR="00A518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сальметерол</w:t>
            </w:r>
          </w:p>
        </w:tc>
      </w:tr>
      <w:tr w:rsidR="00A518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будесонид</w:t>
            </w:r>
          </w:p>
        </w:tc>
      </w:tr>
      <w:tr w:rsidR="00A518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ипратропия бромид</w:t>
            </w:r>
          </w:p>
        </w:tc>
      </w:tr>
      <w:tr w:rsidR="00A51889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889" w:rsidRDefault="00A51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889" w:rsidRDefault="00021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ответы: А</w:t>
      </w:r>
    </w:p>
    <w:p w:rsidR="00A51889" w:rsidRDefault="00A51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889" w:rsidRDefault="00A51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889" w:rsidRDefault="00021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1889" w:rsidRDefault="00A51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889" w:rsidRDefault="00A51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889" w:rsidRDefault="0002190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Федеральное государственное бюджетное </w:t>
      </w:r>
      <w:r>
        <w:rPr>
          <w:rFonts w:ascii="Times New Roman" w:eastAsia="Calibri" w:hAnsi="Times New Roman" w:cs="Times New Roman"/>
          <w:szCs w:val="24"/>
        </w:rPr>
        <w:t>образовательное учреждение высшего образования</w:t>
      </w:r>
    </w:p>
    <w:p w:rsidR="00A51889" w:rsidRDefault="0002190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«Казанский государственный медицинский университет»</w:t>
      </w:r>
    </w:p>
    <w:p w:rsidR="00A51889" w:rsidRDefault="0002190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Министерства здравоохранения Российской Федерации</w:t>
      </w:r>
    </w:p>
    <w:p w:rsidR="00A51889" w:rsidRDefault="0002190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Кафедра эпидемиологии и доказательной медицины</w:t>
      </w:r>
    </w:p>
    <w:p w:rsidR="00A51889" w:rsidRDefault="00A51889">
      <w:pPr>
        <w:spacing w:line="256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A51889" w:rsidRDefault="00021908">
      <w:pPr>
        <w:spacing w:after="0" w:line="240" w:lineRule="auto"/>
        <w:ind w:left="5812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A51889" w:rsidRDefault="00021908">
      <w:pPr>
        <w:spacing w:after="0" w:line="240" w:lineRule="auto"/>
        <w:ind w:left="5812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 по образовательным</w:t>
      </w:r>
    </w:p>
    <w:p w:rsidR="00A51889" w:rsidRDefault="00021908">
      <w:pPr>
        <w:spacing w:after="0" w:line="240" w:lineRule="auto"/>
        <w:ind w:left="5812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программам </w:t>
      </w:r>
      <w:r>
        <w:rPr>
          <w:rFonts w:ascii="Times New Roman" w:eastAsia="Calibri" w:hAnsi="Times New Roman" w:cs="Times New Roman"/>
          <w:sz w:val="24"/>
          <w:szCs w:val="24"/>
        </w:rPr>
        <w:t>ординатуры и</w:t>
      </w:r>
    </w:p>
    <w:p w:rsidR="00A51889" w:rsidRDefault="00021908">
      <w:pPr>
        <w:spacing w:after="0" w:line="240" w:lineRule="auto"/>
        <w:ind w:left="5812"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аспирантуры</w:t>
      </w:r>
    </w:p>
    <w:p w:rsidR="00A51889" w:rsidRDefault="00021908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_________________А.А. Малова</w:t>
      </w:r>
    </w:p>
    <w:p w:rsidR="00A51889" w:rsidRDefault="00021908">
      <w:pPr>
        <w:spacing w:after="0" w:line="240" w:lineRule="auto"/>
        <w:ind w:left="5812" w:right="4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«____»____________2019 г.</w:t>
      </w:r>
    </w:p>
    <w:p w:rsidR="00A51889" w:rsidRDefault="00A5188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1889" w:rsidRDefault="0002190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ГОСУДАРСТВЕННОЙ ИТОГОВОЙ АТТЕСТАЦИИ ОРДИНАТОРОВ ПО СПЕЦИАЛЬНОСТИ 31.08.26 «Аллергология и иммунология»</w:t>
      </w:r>
    </w:p>
    <w:p w:rsidR="00A51889" w:rsidRDefault="0002190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Экзаменационный билет №1</w:t>
      </w:r>
    </w:p>
    <w:p w:rsidR="00A51889" w:rsidRDefault="00021908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Атопический дерматит</w:t>
      </w:r>
    </w:p>
    <w:p w:rsidR="00A51889" w:rsidRDefault="00021908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Определение </w:t>
      </w:r>
      <w:r>
        <w:rPr>
          <w:rFonts w:ascii="Times New Roman" w:eastAsia="Calibri" w:hAnsi="Times New Roman" w:cs="Times New Roman"/>
          <w:sz w:val="24"/>
          <w:szCs w:val="24"/>
        </w:rPr>
        <w:t>атопического дерматита</w:t>
      </w:r>
    </w:p>
    <w:p w:rsidR="00A51889" w:rsidRDefault="00021908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Классификация  атопического дерматита</w:t>
      </w:r>
    </w:p>
    <w:p w:rsidR="00A51889" w:rsidRDefault="00021908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Критерии диагностики атопического дерматита</w:t>
      </w:r>
    </w:p>
    <w:p w:rsidR="00A51889" w:rsidRDefault="00021908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 Принципы терапии атопического дерматита</w:t>
      </w:r>
    </w:p>
    <w:p w:rsidR="00A51889" w:rsidRDefault="00021908">
      <w:pPr>
        <w:spacing w:after="0" w:line="25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Вторичные иммунодефициты</w:t>
      </w:r>
    </w:p>
    <w:p w:rsidR="00A51889" w:rsidRDefault="00021908">
      <w:pPr>
        <w:spacing w:after="0" w:line="25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2.1. Классификация вторичных иммунодефицитов </w:t>
      </w:r>
    </w:p>
    <w:p w:rsidR="00A51889" w:rsidRDefault="00021908">
      <w:pPr>
        <w:spacing w:line="256" w:lineRule="auto"/>
        <w:ind w:left="426" w:firstLine="28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Клинические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оявления вторичных иммунодефицитов </w:t>
      </w:r>
    </w:p>
    <w:p w:rsidR="00A51889" w:rsidRDefault="00021908">
      <w:pPr>
        <w:spacing w:line="256" w:lineRule="auto"/>
        <w:ind w:left="426" w:firstLine="28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Диагностика вторичных иммунодефицитов  </w:t>
      </w:r>
    </w:p>
    <w:p w:rsidR="00A51889" w:rsidRDefault="00021908">
      <w:pPr>
        <w:spacing w:line="256" w:lineRule="auto"/>
        <w:ind w:left="426" w:firstLine="28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 Принципы терапии вторичных иммунодефицитов</w:t>
      </w:r>
    </w:p>
    <w:p w:rsidR="00A51889" w:rsidRDefault="00A51889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51889" w:rsidRDefault="00021908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ЗАДАЧА</w:t>
      </w:r>
    </w:p>
    <w:p w:rsidR="00A51889" w:rsidRDefault="00A51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89" w:rsidRDefault="00A51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579"/>
        <w:gridCol w:w="7501"/>
      </w:tblGrid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ОЗНАКОМЬТЕСЬ С СИТУАЦИЕЙ И ДАЙТЕ РАЗВЕРНУТЫЕ ОТВЕТЫ НА ВОПРОСЫ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Пациентка В. (29 лет) обратилась по поводу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 отеков.  Из анамнеза: отеки возникают спонтанно, после стоматологических вмешательств, могут провоцироваться травмами. Отеки в течение нескольких часов нарастают, сохраняются в течение 3-4 суток и медленно регрессируют. Отмечалось 2 эпизода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тека в области лица в сочетании с отеком гортани. Отеки не сопровождались высыпаниями и зудом. Указанная симптоматика отмечается в течение 14 последних лет (с 15-летнего возраста).</w:t>
            </w:r>
          </w:p>
          <w:p w:rsidR="00A51889" w:rsidRDefault="0002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моменту обращения пациентка в течение года постоянно принимала антигистам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инные препараты, провела несколько курсов пероральных ГКС (преднизолон, дексаметазон), но уменьшения частоты отеков не отмечала.</w:t>
            </w:r>
          </w:p>
          <w:p w:rsidR="00A51889" w:rsidRDefault="0002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Наследственность: по материнской линии подобных отеков ни у кого не отмечалось, по отцовской линии информация отсутствует. Насл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едственность по атопическим заболеваниям не отягощена. </w:t>
            </w:r>
          </w:p>
          <w:p w:rsidR="00A51889" w:rsidRDefault="0002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комплексном клинико-лабораторном обследовании диагностирован  хронический  холецистит. </w:t>
            </w:r>
          </w:p>
          <w:p w:rsidR="00A51889" w:rsidRDefault="0002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Аллергологическое обследование: кожные тесты с бытовыми, пыльцевыми, пищевыми аллергенами отрицательны, IgE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35,8 IU/ml.</w:t>
            </w:r>
          </w:p>
          <w:p w:rsidR="00A51889" w:rsidRDefault="0002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иммунологического обследования: С4 – 0,05 г/л (норма – 0,15-0,4 г/л); С1-ингибитор – 25% (норма – 66-166%)</w:t>
            </w:r>
          </w:p>
          <w:p w:rsidR="00A51889" w:rsidRDefault="00A518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A5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Укажите диагноз 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Укажите критерии постановки диагноза. 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Какова причина отеков?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Перечислите типичные</w:t>
            </w: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 xml:space="preserve"> места возникновения отеков при НАО?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24"/>
                <w:sz w:val="24"/>
                <w:szCs w:val="24"/>
                <w:lang w:eastAsia="ru-RU"/>
              </w:rPr>
              <w:t>Назовите препараты, используемые для лечения наследственного ангиоотека.</w:t>
            </w:r>
          </w:p>
        </w:tc>
      </w:tr>
    </w:tbl>
    <w:p w:rsidR="00A51889" w:rsidRDefault="00A518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89" w:rsidRDefault="00A518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89" w:rsidRDefault="0002190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1889" w:rsidRDefault="0002190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A51889" w:rsidRDefault="0002190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«Казанский государственный медицинский университет»</w:t>
      </w:r>
    </w:p>
    <w:p w:rsidR="00A51889" w:rsidRDefault="0002190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Министерства здравоохранения Российской Федерации</w:t>
      </w:r>
    </w:p>
    <w:p w:rsidR="00A51889" w:rsidRDefault="0002190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Кафедра эпидемиологии и доказательной медицины</w:t>
      </w:r>
    </w:p>
    <w:p w:rsidR="00A51889" w:rsidRDefault="00A51889">
      <w:pPr>
        <w:ind w:left="5812"/>
        <w:rPr>
          <w:rFonts w:ascii="Times New Roman" w:hAnsi="Times New Roman" w:cs="Times New Roman"/>
          <w:sz w:val="24"/>
          <w:szCs w:val="24"/>
        </w:rPr>
      </w:pPr>
    </w:p>
    <w:p w:rsidR="00A51889" w:rsidRDefault="00021908">
      <w:pPr>
        <w:spacing w:after="0" w:line="240" w:lineRule="auto"/>
        <w:ind w:left="581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51889" w:rsidRDefault="00021908">
      <w:pPr>
        <w:spacing w:after="0" w:line="240" w:lineRule="auto"/>
        <w:ind w:left="581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образовательным</w:t>
      </w:r>
    </w:p>
    <w:p w:rsidR="00A51889" w:rsidRDefault="00021908">
      <w:pPr>
        <w:spacing w:after="0" w:line="240" w:lineRule="auto"/>
        <w:ind w:left="581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программам ординатуры и</w:t>
      </w:r>
    </w:p>
    <w:p w:rsidR="00A51889" w:rsidRDefault="00021908">
      <w:pPr>
        <w:spacing w:after="0" w:line="240" w:lineRule="auto"/>
        <w:ind w:left="581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аспирантуры</w:t>
      </w:r>
    </w:p>
    <w:p w:rsidR="00A51889" w:rsidRDefault="0002190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_________________А.А. Малова</w:t>
      </w:r>
    </w:p>
    <w:p w:rsidR="00A51889" w:rsidRDefault="00021908">
      <w:pPr>
        <w:spacing w:after="0" w:line="240" w:lineRule="auto"/>
        <w:ind w:left="5812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A51889" w:rsidRDefault="00A51889">
      <w:pPr>
        <w:rPr>
          <w:rFonts w:ascii="Times New Roman" w:hAnsi="Times New Roman" w:cs="Times New Roman"/>
          <w:sz w:val="24"/>
          <w:szCs w:val="24"/>
        </w:rPr>
      </w:pPr>
    </w:p>
    <w:p w:rsidR="00A51889" w:rsidRDefault="00021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ГОСУДАРСТВЕННОЙ </w:t>
      </w:r>
      <w:r>
        <w:rPr>
          <w:rFonts w:ascii="Times New Roman" w:hAnsi="Times New Roman" w:cs="Times New Roman"/>
          <w:sz w:val="24"/>
          <w:szCs w:val="24"/>
        </w:rPr>
        <w:t>ИТОГОВОЙ АТТЕСТАЦИИ ОРДИНАТОРОВ ПО СПЕЦИАЛЬНОСТИ 31.08.26 «Аллергология и иммунология»</w:t>
      </w:r>
    </w:p>
    <w:p w:rsidR="00A51889" w:rsidRDefault="00021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билет №2</w:t>
      </w:r>
    </w:p>
    <w:p w:rsidR="00A51889" w:rsidRDefault="0002190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Аллергический ринит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Этиология и патогенез аллергического ринита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Классификация аллергического ринита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Клиника и диагностика </w:t>
      </w:r>
      <w:r>
        <w:rPr>
          <w:rFonts w:ascii="Times New Roman" w:hAnsi="Times New Roman" w:cs="Times New Roman"/>
          <w:sz w:val="24"/>
          <w:szCs w:val="24"/>
        </w:rPr>
        <w:t>аллергического ринита</w:t>
      </w:r>
    </w:p>
    <w:p w:rsidR="00A51889" w:rsidRDefault="0002190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Лечение аллергического ринита</w:t>
      </w:r>
    </w:p>
    <w:p w:rsidR="00A51889" w:rsidRDefault="00021908">
      <w:pPr>
        <w:pStyle w:val="a6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Иммунопатогенез и иммунодиагностика аутоиммунных заболеваний</w:t>
      </w:r>
    </w:p>
    <w:p w:rsidR="00A51889" w:rsidRDefault="00021908">
      <w:pPr>
        <w:pStyle w:val="a6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2.1. Механизм иммунной толерантности </w:t>
      </w:r>
    </w:p>
    <w:p w:rsidR="00A51889" w:rsidRDefault="00021908">
      <w:pPr>
        <w:pStyle w:val="a6"/>
        <w:ind w:left="426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Понятие органоспецифических и органонеспецифических аутоиммунных заболеваний </w:t>
      </w:r>
    </w:p>
    <w:p w:rsidR="00A51889" w:rsidRDefault="00021908">
      <w:pPr>
        <w:pStyle w:val="a6"/>
        <w:ind w:left="426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Принципы иммунодиагностики аутоиммунных заболеваний </w:t>
      </w:r>
    </w:p>
    <w:p w:rsidR="00A51889" w:rsidRDefault="00021908">
      <w:pPr>
        <w:pStyle w:val="a6"/>
        <w:ind w:left="426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Основные направления терапии аутоиммунных заболеваний </w:t>
      </w:r>
    </w:p>
    <w:p w:rsidR="00A51889" w:rsidRDefault="00A51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51889" w:rsidRDefault="000219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</w:p>
    <w:tbl>
      <w:tblPr>
        <w:tblW w:w="96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8962"/>
      </w:tblGrid>
      <w:tr w:rsidR="00A51889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both"/>
              <w:rPr>
                <w:rFonts w:ascii="Times New Roman" w:hAnsi="Times New Roman" w:cs="Times New Roman"/>
                <w:b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kern w:val="24"/>
                <w:sz w:val="24"/>
                <w:szCs w:val="24"/>
              </w:rPr>
              <w:t>Текст элемента задачи (мини-кейса)</w:t>
            </w:r>
          </w:p>
        </w:tc>
      </w:tr>
      <w:tr w:rsidR="00A51889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002</w:t>
            </w:r>
          </w:p>
        </w:tc>
      </w:tr>
      <w:tr w:rsidR="00A51889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both"/>
              <w:rPr>
                <w:rFonts w:ascii="Times New Roman" w:hAnsi="Times New Roman" w:cs="Times New Roman"/>
                <w:i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2"/>
                <w:kern w:val="24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:rsidR="00A51889" w:rsidRDefault="00021908">
            <w:pPr>
              <w:spacing w:after="0"/>
              <w:jc w:val="both"/>
              <w:rPr>
                <w:rFonts w:ascii="Times New Roman" w:hAnsi="Times New Roman" w:cs="Times New Roman"/>
                <w:b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2"/>
                <w:kern w:val="24"/>
                <w:sz w:val="24"/>
                <w:szCs w:val="24"/>
              </w:rPr>
              <w:t xml:space="preserve">Время выполнения </w:t>
            </w:r>
            <w:r>
              <w:rPr>
                <w:rFonts w:ascii="Times New Roman" w:hAnsi="Times New Roman" w:cs="Times New Roman"/>
                <w:i/>
                <w:spacing w:val="2"/>
                <w:kern w:val="24"/>
                <w:sz w:val="24"/>
                <w:szCs w:val="24"/>
              </w:rPr>
              <w:t>задания – 10 минут</w:t>
            </w:r>
          </w:p>
        </w:tc>
      </w:tr>
      <w:tr w:rsidR="00A51889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ind w:left="44"/>
              <w:jc w:val="both"/>
              <w:rPr>
                <w:rFonts w:ascii="Times New Roman" w:hAnsi="Times New Roman" w:cs="Times New Roman"/>
                <w:bCs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kern w:val="24"/>
                <w:sz w:val="24"/>
                <w:szCs w:val="24"/>
              </w:rPr>
              <w:t>Мужчина, 34 года, страдает рецидивирующим фурункулёзом в течение 2-х лет. Неоднократно проводилось хирургическое лечение: вскрытие и санация фурункулов. Антибактериальная терапия назначалась с учетом результатов бактериологического исследования (выделен зо</w:t>
            </w:r>
            <w:r>
              <w:rPr>
                <w:rFonts w:ascii="Times New Roman" w:hAnsi="Times New Roman" w:cs="Times New Roman"/>
                <w:bCs/>
                <w:spacing w:val="2"/>
                <w:kern w:val="24"/>
                <w:sz w:val="24"/>
                <w:szCs w:val="24"/>
              </w:rPr>
              <w:t xml:space="preserve">лотистый стафилококк) и определения чувствительности к антибиотикам. Наряду с этим пациенту назначался иммуноглобулин человека антистафилококкового.  При обследовании в период обострении заболевания был проведен общий анализ крови с лейкоформулой: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гемоглоб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- 125 г/л, лейкоциты - 12100*109/л, палочкоядерные нейтрофилы - 14%, сегментоядерные нейтрофилы - 52 %, лимфоциты - 22%, моноциты - 7%, эозинофилы - 5%, СОЭ - 12 мм/ч. Проводилось исследование иммунного статуса. Общее количество лимфоцитов - 2662*109/л;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3+ - 87%,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19+-13%. </w:t>
            </w:r>
            <w:r>
              <w:rPr>
                <w:rFonts w:ascii="Times New Roman" w:hAnsi="Times New Roman" w:cs="Times New Roman"/>
                <w:bCs/>
                <w:spacing w:val="2"/>
                <w:kern w:val="24"/>
                <w:sz w:val="24"/>
                <w:szCs w:val="24"/>
              </w:rPr>
              <w:t xml:space="preserve">Содержание иммуноглобулинов: IgG - 12,0 г/л, IgA - 1,5 г/л, IgM – 2,4 г/л). ФИ – 35%; ФЧ – 3 ед. </w:t>
            </w:r>
          </w:p>
        </w:tc>
      </w:tr>
      <w:tr w:rsidR="00A51889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jc w:val="both"/>
              <w:rPr>
                <w:rFonts w:ascii="Times New Roman" w:hAnsi="Times New Roman" w:cs="Times New Roman"/>
                <w:bCs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kern w:val="24"/>
                <w:sz w:val="24"/>
                <w:szCs w:val="24"/>
              </w:rPr>
              <w:t xml:space="preserve">Вопросы </w:t>
            </w:r>
          </w:p>
        </w:tc>
      </w:tr>
      <w:tr w:rsidR="00A51889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Какие изменения отмечаются в результатах исследования иммунного статуса?</w:t>
            </w:r>
          </w:p>
        </w:tc>
      </w:tr>
      <w:tr w:rsidR="00A51889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Соответствуют ли эти изменения клинической </w:t>
            </w:r>
            <w:r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картине заболевания?</w:t>
            </w:r>
          </w:p>
        </w:tc>
      </w:tr>
      <w:tr w:rsidR="00A51889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Какие дополнительные методы исследования можно рекомендовать в данном случае?</w:t>
            </w:r>
          </w:p>
        </w:tc>
      </w:tr>
      <w:tr w:rsidR="00A51889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Обосновано ли назначение иммуноглобулина человека антистафилококкового? </w:t>
            </w:r>
          </w:p>
        </w:tc>
      </w:tr>
      <w:tr w:rsidR="00A51889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 xml:space="preserve">Какие другие иммунотропные препараты Вы можете рекомендовать в данном </w:t>
            </w:r>
            <w:r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случае?</w:t>
            </w:r>
          </w:p>
        </w:tc>
      </w:tr>
    </w:tbl>
    <w:p w:rsidR="00A51889" w:rsidRDefault="00A51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51889" w:rsidRDefault="00A51889">
      <w:pPr>
        <w:rPr>
          <w:rFonts w:ascii="Times New Roman" w:hAnsi="Times New Roman" w:cs="Times New Roman"/>
          <w:sz w:val="24"/>
          <w:szCs w:val="24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021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Эталоны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ответов на экзаменационны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билет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51889" w:rsidRDefault="00A51889">
      <w:pPr>
        <w:rPr>
          <w:rFonts w:ascii="Times New Roman" w:hAnsi="Times New Roman" w:cs="Times New Roman"/>
          <w:b/>
          <w:sz w:val="28"/>
          <w:szCs w:val="28"/>
        </w:rPr>
      </w:pPr>
    </w:p>
    <w:p w:rsidR="00A51889" w:rsidRDefault="00021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1. </w:t>
      </w:r>
    </w:p>
    <w:p w:rsidR="00A51889" w:rsidRDefault="000219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Атопический дерматит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</w:rPr>
        <w:t>Атопический дерматит</w:t>
      </w:r>
      <w:r>
        <w:rPr>
          <w:b/>
        </w:rPr>
        <w:t xml:space="preserve"> </w:t>
      </w:r>
      <w:r>
        <w:t>– хроническое рецидивирующее аллергическое заболевание кожи, характеризующееся зудом и возрастными особенностями клинических проявлений, возникающее у лиц с наследственной предрасположенностью, развивающееся как правило в детском возрасте. В настоящее врем</w:t>
      </w:r>
      <w:r>
        <w:t>я считается, что атопический дерматит является первой ступенью в развитии «атопического марша». Выделяют эндогенные и экзогенные факторы развития АтД. К эндогенным факторам относят отягощенную наследственность по атопическим заболеваниям и гиперреактивност</w:t>
      </w:r>
      <w:r>
        <w:t xml:space="preserve">ь кожи. Среди экзогенных факторов выделяют: контакт с аллергенами, климатические условия, значения </w:t>
      </w:r>
      <w:r>
        <w:rPr>
          <w:lang w:val="en-US"/>
        </w:rPr>
        <w:t>t</w:t>
      </w:r>
      <w:r>
        <w:t>°и влажности воздуха, использование химических и раздражающих средств, психосоциальные факторы, наличие хронических заболеваний, физические факторы (расчесы</w:t>
      </w:r>
      <w:r>
        <w:t>вание кожи, повышенное потоотделение, трение одежды), инфекционные заболевания.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>Выделяют обязательные и вспомогательные клинические признаки АтД.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Обязательные признаки включают в себя:</w:t>
      </w:r>
    </w:p>
    <w:p w:rsidR="00A51889" w:rsidRDefault="00021908">
      <w:pPr>
        <w:pStyle w:val="txt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зуд кожи;</w:t>
      </w:r>
    </w:p>
    <w:p w:rsidR="00A51889" w:rsidRDefault="00021908">
      <w:pPr>
        <w:pStyle w:val="txt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появление первых клинических признаков заболевания в раннем </w:t>
      </w:r>
      <w:r>
        <w:t>детском возрасте;</w:t>
      </w:r>
    </w:p>
    <w:p w:rsidR="00A51889" w:rsidRDefault="00021908">
      <w:pPr>
        <w:pStyle w:val="txt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локализация кожного процесса в типичных областях;</w:t>
      </w:r>
    </w:p>
    <w:p w:rsidR="00A51889" w:rsidRDefault="00021908">
      <w:pPr>
        <w:pStyle w:val="txt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рецидивирующее течение с периодами ремиссии и обострения;</w:t>
      </w:r>
    </w:p>
    <w:p w:rsidR="00A51889" w:rsidRDefault="00021908">
      <w:pPr>
        <w:pStyle w:val="txt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наличие в анамнезе предрасположенности к развитию атопических заболеваний. 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</w:rPr>
        <w:t>Из вспомогательных признаков выделяют</w:t>
      </w:r>
      <w:r>
        <w:t>:</w:t>
      </w:r>
    </w:p>
    <w:p w:rsidR="00A51889" w:rsidRDefault="00021908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ксероз кожи;</w:t>
      </w:r>
    </w:p>
    <w:p w:rsidR="00A51889" w:rsidRDefault="00021908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хе</w:t>
      </w:r>
      <w:r>
        <w:t>йлит;</w:t>
      </w:r>
    </w:p>
    <w:p w:rsidR="00A51889" w:rsidRDefault="00021908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эритродермию;</w:t>
      </w:r>
    </w:p>
    <w:p w:rsidR="00A51889" w:rsidRDefault="00021908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складки Денье-Моргана;</w:t>
      </w:r>
    </w:p>
    <w:p w:rsidR="00A51889" w:rsidRDefault="00021908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периорбитальную пигментацию;</w:t>
      </w:r>
    </w:p>
    <w:p w:rsidR="00A51889" w:rsidRDefault="00021908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трещины за ушами;</w:t>
      </w:r>
    </w:p>
    <w:p w:rsidR="00A51889" w:rsidRDefault="00021908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фолликулярный кератоз;</w:t>
      </w:r>
    </w:p>
    <w:p w:rsidR="00A51889" w:rsidRDefault="00021908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высокий уровень </w:t>
      </w:r>
      <w:r>
        <w:rPr>
          <w:lang w:val="en-US"/>
        </w:rPr>
        <w:t>IgE</w:t>
      </w:r>
      <w:r>
        <w:t>;</w:t>
      </w:r>
    </w:p>
    <w:p w:rsidR="00A51889" w:rsidRDefault="00021908">
      <w:pPr>
        <w:pStyle w:val="txt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эозинофилию периферической крови.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>
        <w:rPr>
          <w:b/>
          <w:i/>
        </w:rPr>
        <w:t>Классификация атопического дерматита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>В настоящее время не существует единой общепринятой</w:t>
      </w:r>
      <w:r>
        <w:t xml:space="preserve"> классификации АтД. Рабочая классификация АтД включает в себя возрастные периоды болезни, стадии болезни, распространенность и локализацию процесса, степень тяжести заболевания.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свою очередь среди </w:t>
      </w:r>
      <w:r>
        <w:rPr>
          <w:i/>
        </w:rPr>
        <w:t>возрастных периодов</w:t>
      </w:r>
      <w:r>
        <w:t xml:space="preserve"> АтД выделяют: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>• I возрастной период –</w:t>
      </w:r>
      <w:r>
        <w:t xml:space="preserve"> младенческий (до 2 лет); 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>• II возрастной период – детский (от 2 до 13 лет);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>• III возрастной период – подростковый и взрослый (старше 13 лет).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Фазы</w:t>
      </w:r>
      <w:r>
        <w:rPr>
          <w:i/>
          <w:lang w:val="en-US"/>
        </w:rPr>
        <w:t xml:space="preserve"> </w:t>
      </w:r>
      <w:r>
        <w:rPr>
          <w:i/>
        </w:rPr>
        <w:t>АтД:</w:t>
      </w:r>
    </w:p>
    <w:p w:rsidR="00A51889" w:rsidRDefault="00021908">
      <w:pPr>
        <w:pStyle w:val="txt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Острая - характеризуется интенсивным зудом, эритематозными папулами и везикулами, располагающихся на </w:t>
      </w:r>
      <w:r>
        <w:t>фоне эритематозной кожи, выраженными экскориациями и эрозиями, выделением серозного экссудата</w:t>
      </w:r>
    </w:p>
    <w:p w:rsidR="00A51889" w:rsidRDefault="00021908">
      <w:pPr>
        <w:pStyle w:val="txt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Подострая - сопровождается эритемой, экскориациями и шелушением,  на фоне уплотнения лихенификации кожи</w:t>
      </w:r>
    </w:p>
    <w:p w:rsidR="00A51889" w:rsidRDefault="00021908">
      <w:pPr>
        <w:pStyle w:val="txt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Хроническая - наблюдаются утолщенные бляшки на коже,лихени</w:t>
      </w:r>
      <w:r>
        <w:t>фикация и фиброзные папулы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Стадии АтД: </w:t>
      </w:r>
    </w:p>
    <w:p w:rsidR="00A51889" w:rsidRDefault="00021908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Обострение;</w:t>
      </w:r>
    </w:p>
    <w:p w:rsidR="00A51889" w:rsidRDefault="00021908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Ремиссия;</w:t>
      </w:r>
    </w:p>
    <w:p w:rsidR="00A51889" w:rsidRDefault="00021908">
      <w:pPr>
        <w:pStyle w:val="txt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</w:pPr>
      <w:r>
        <w:t>Неполная ремиссия.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</w:rPr>
        <w:t>Распространенность процесса</w:t>
      </w:r>
      <w:r>
        <w:t xml:space="preserve"> заболевания оценивают по площади поражения кожных покровов. Выделяют следующие формы АтД: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>• ограниченно-локализованный (площадь поражения кожи &lt;10</w:t>
      </w:r>
      <w:r>
        <w:t xml:space="preserve">%, локализация: локтевые и/или подколенные складки, кожа кистей рук, кожа шеи и/или лица); 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>• распространенный (площадь поражения кожи 10–50%, локализация: частично поражена кожа груди, спины; помимо локтевых и подколенных складок в процесс вовлекаются дру</w:t>
      </w:r>
      <w:r>
        <w:t xml:space="preserve">гие участки кожи конечностей (плечи, предплечья, голени, бедра); 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• диффузный (площадь поражения кожи &gt;50%, локализация: кожа всего тела, волосистая часть головы). 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highlight w:val="red"/>
        </w:rPr>
      </w:pPr>
      <w:r>
        <w:rPr>
          <w:i/>
        </w:rPr>
        <w:t xml:space="preserve">Степень тяжести </w:t>
      </w:r>
      <w:r>
        <w:t>процесса атопического дерматита подразделяют на легкое течение, течение сре</w:t>
      </w:r>
      <w:r>
        <w:t>дней тяжести и тяжелое течение. При оценке степени тяжести заболевания учитывают длительность и частоту обострений АтД, длительность ремиссий заболевания, распространенность и морфологические особенности кожного процесса, интенсивность кожного зуда, эффект</w:t>
      </w:r>
      <w:r>
        <w:t>ивность проводимой терапии.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>В качестве базисной  терапии атопического дерматита назначаются противовоспалительные средства: топические глюкокортикостероиды или препараты нестероидного происхождения (в зависимости от степени тяжести) и независимо от степени</w:t>
      </w:r>
      <w:r>
        <w:t xml:space="preserve"> тяжести эмолиенты - увлажняющие средства.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>В зависимости от морфологической картины применяют различные лекарственные формы наружных препаратов: аэрозоли, лосьоны, эмульсии, кремы, мази. При обострении заболевания используются топические глюкокортикостерои</w:t>
      </w:r>
      <w:r>
        <w:t>ды.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>К топическим глюкокортикостероидам относятся: фторированные (дексаметазон, бетаметазон, клобетазол, флутиказон) и нефторированные (гидрокортизон, преднизолон и его производные, мометазона фуроат, метилпреднизолона ацепонат). При тяжелом течении атопиче</w:t>
      </w:r>
      <w:r>
        <w:t>ского дерматита назначаются системные глюкокортикостероиды короткими курсами (преднизолон, дексаметазон).</w:t>
      </w:r>
    </w:p>
    <w:p w:rsidR="00A51889" w:rsidRDefault="00021908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>
        <w:t>При наличии вторичной инфекции применяются комбинированные наружные препараты. При наличии интенсивного зуда кожи дополнительно назначают антигистамин</w:t>
      </w:r>
      <w:r>
        <w:t xml:space="preserve">ные средства </w:t>
      </w:r>
      <w:r>
        <w:rPr>
          <w:lang w:val="en-US"/>
        </w:rPr>
        <w:t>per</w:t>
      </w:r>
      <w:r>
        <w:t xml:space="preserve"> </w:t>
      </w:r>
      <w:r>
        <w:rPr>
          <w:lang w:val="en-US"/>
        </w:rPr>
        <w:t>os</w:t>
      </w:r>
      <w:r>
        <w:t>.</w:t>
      </w:r>
    </w:p>
    <w:p w:rsidR="00A51889" w:rsidRDefault="0002190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Вторичный иммунодефицит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Иммунодефициты (ИД) – это снижение количественных показателей и (или) функциональной активности основных компонентов иммуннной системы, ведущее к нарушению защиты организма от микробов и проявляющееся повышенной</w:t>
      </w:r>
      <w:r>
        <w:rPr>
          <w:rFonts w:ascii="Times New Roman" w:hAnsi="Times New Roman" w:cs="Times New Roman"/>
          <w:sz w:val="24"/>
          <w:szCs w:val="24"/>
        </w:rPr>
        <w:t xml:space="preserve"> инфекционной заболеваемостью.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Традиционно ИД подразделяют на первичные иммунодефициты и вторичные.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вторичной иммунной недостаточности (ВИН) – это нарушения иммунной системы, развивающиеся в позднем постнатальном периоде или у взрослых и характери</w:t>
      </w:r>
      <w:r>
        <w:rPr>
          <w:rFonts w:ascii="Times New Roman" w:hAnsi="Times New Roman" w:cs="Times New Roman"/>
          <w:sz w:val="24"/>
          <w:szCs w:val="24"/>
        </w:rPr>
        <w:t>зующиеся хроническими инфекционно-воспалительными заболеваниями, торпидными к традиционной стандартной терапии.</w:t>
      </w:r>
    </w:p>
    <w:p w:rsidR="00A51889" w:rsidRDefault="00021908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Синдром ВИН – это не нозологическая форма, а клинико-патогенетическая характеристика транзиторных нарушений иммунной системы, как у детей, так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взрослых, не связанных с генетическими дефектами иммунной системы. ВИН развиваются в разном возрасте на фоне ранее нормально функционировавшей иммунной системы, в следствии разнообразных (травмы, тяжелые онкологические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заболевания, ионизирующая радиация</w:t>
      </w:r>
      <w:r>
        <w:rPr>
          <w:rFonts w:ascii="Times New Roman" w:hAnsi="Times New Roman" w:cs="Times New Roman"/>
          <w:bCs/>
          <w:sz w:val="24"/>
          <w:szCs w:val="24"/>
        </w:rPr>
        <w:t>, лекарственные препараты, нарушения питания, стресс и др.).</w:t>
      </w:r>
    </w:p>
    <w:p w:rsidR="00A51889" w:rsidRDefault="00021908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настоящее время нет единой классификации ВИН. В России наиболее признанной является классификация Р.М. Хаитова, Б.В. Пинегина (1999г.), выделяющая следующие формы ВИН:</w:t>
      </w:r>
    </w:p>
    <w:p w:rsidR="00A51889" w:rsidRDefault="00021908">
      <w:pPr>
        <w:pStyle w:val="a6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Индуцированная форма (вс</w:t>
      </w:r>
      <w:r>
        <w:rPr>
          <w:rFonts w:ascii="Times New Roman" w:hAnsi="Times New Roman" w:cs="Times New Roman"/>
          <w:bCs/>
          <w:sz w:val="24"/>
          <w:szCs w:val="24"/>
        </w:rPr>
        <w:t>ледствие конкретной причины или вторично по отношению к основному заболеванию – сахарный диабет, заболевание печени, почек и т.д.);</w:t>
      </w:r>
    </w:p>
    <w:p w:rsidR="00A51889" w:rsidRDefault="00021908">
      <w:pPr>
        <w:pStyle w:val="a6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Спонтанная форма (характеризуется отсутствием явной причины, клинически проявляется в виде хронических часто рецидивирующих </w:t>
      </w:r>
      <w:r>
        <w:rPr>
          <w:rFonts w:ascii="Times New Roman" w:hAnsi="Times New Roman" w:cs="Times New Roman"/>
          <w:bCs/>
          <w:sz w:val="24"/>
          <w:szCs w:val="24"/>
        </w:rPr>
        <w:t>инфекционно-воспалительных заболеваний органов и систем, вызванных условно-патогенными микроорганизмами);</w:t>
      </w:r>
    </w:p>
    <w:p w:rsidR="00A51889" w:rsidRDefault="00021908">
      <w:pPr>
        <w:pStyle w:val="a6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СПИД (ВИЧ-инфекция). </w:t>
      </w:r>
    </w:p>
    <w:p w:rsidR="00A51889" w:rsidRDefault="00021908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Подобно тому, как выше были обозначены клинические признаки ПИД, позволяющие врачу своевременно заподозрить первичный иммунодефи</w:t>
      </w:r>
      <w:r>
        <w:rPr>
          <w:rFonts w:ascii="Times New Roman" w:hAnsi="Times New Roman" w:cs="Times New Roman"/>
          <w:bCs/>
          <w:sz w:val="24"/>
          <w:szCs w:val="24"/>
        </w:rPr>
        <w:t xml:space="preserve">цит у больного, в настоящее время сформулированы и клинические признаки ВИН, главными из которых являются различные проявления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инфекционного синдрома </w:t>
      </w:r>
      <w:r>
        <w:rPr>
          <w:rFonts w:ascii="Times New Roman" w:hAnsi="Times New Roman" w:cs="Times New Roman"/>
          <w:bCs/>
          <w:sz w:val="24"/>
          <w:szCs w:val="24"/>
        </w:rPr>
        <w:t>у пациента с ВИН:</w:t>
      </w:r>
    </w:p>
    <w:p w:rsidR="00A51889" w:rsidRDefault="00021908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Часто рецидивирующие хронические бронхиты в сочетании сзаболеваниями ЛОР-органов (гнойны</w:t>
      </w:r>
      <w:r>
        <w:rPr>
          <w:rFonts w:ascii="Times New Roman" w:hAnsi="Times New Roman" w:cs="Times New Roman"/>
          <w:bCs/>
          <w:iCs/>
          <w:sz w:val="24"/>
          <w:szCs w:val="24"/>
        </w:rPr>
        <w:t>е синуситы, отиты и др.);</w:t>
      </w:r>
    </w:p>
    <w:p w:rsidR="00A51889" w:rsidRDefault="00021908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Часто рецидивирующие бактериальные инфекции кожи и подкожной клетчатки;</w:t>
      </w:r>
    </w:p>
    <w:p w:rsidR="00A51889" w:rsidRDefault="00021908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Рецидивирующие герпесвирусные инфекции различной локализации;</w:t>
      </w:r>
    </w:p>
    <w:p w:rsidR="00A51889" w:rsidRDefault="00021908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Грибковые поражения кожи и слизистых оболочек;</w:t>
      </w:r>
    </w:p>
    <w:p w:rsidR="00A51889" w:rsidRDefault="00021908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Более 2-х случаев пневмоний в год;</w:t>
      </w:r>
    </w:p>
    <w:p w:rsidR="00A51889" w:rsidRDefault="00021908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Лимфаденопатия</w:t>
      </w:r>
      <w:r>
        <w:rPr>
          <w:rFonts w:ascii="Times New Roman" w:hAnsi="Times New Roman" w:cs="Times New Roman"/>
          <w:bCs/>
          <w:iCs/>
          <w:sz w:val="24"/>
          <w:szCs w:val="24"/>
        </w:rPr>
        <w:t>, повторные лимфадениты;</w:t>
      </w:r>
    </w:p>
    <w:p w:rsidR="00A51889" w:rsidRDefault="00021908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Длительный субфебрилитет – лихорадка неясной этиологии;</w:t>
      </w:r>
    </w:p>
    <w:p w:rsidR="00A51889" w:rsidRDefault="00021908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Частые ОРВИ (более 5 эпизодов в год);</w:t>
      </w:r>
    </w:p>
    <w:p w:rsidR="00A51889" w:rsidRDefault="00021908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Генерализованные инфекции (сепсис, менингит);</w:t>
      </w:r>
    </w:p>
    <w:p w:rsidR="00A51889" w:rsidRDefault="00021908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Отсутствие  адекватного клинического эффекта после назначения стандартной терапии.</w:t>
      </w:r>
    </w:p>
    <w:p w:rsidR="00A51889" w:rsidRDefault="00021908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</w:t>
      </w:r>
      <w:r>
        <w:rPr>
          <w:rFonts w:ascii="Times New Roman" w:hAnsi="Times New Roman" w:cs="Times New Roman"/>
          <w:bCs/>
          <w:sz w:val="24"/>
          <w:szCs w:val="24"/>
        </w:rPr>
        <w:t>разом, основными признаками ВИН являются:</w:t>
      </w:r>
    </w:p>
    <w:p w:rsidR="00A51889" w:rsidRDefault="00021908">
      <w:pPr>
        <w:pStyle w:val="a6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Отсутствие генетического дефекта развития иммунной системы;</w:t>
      </w:r>
    </w:p>
    <w:p w:rsidR="00A51889" w:rsidRDefault="00021908">
      <w:pPr>
        <w:pStyle w:val="a6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Возникновение ВИН на фоне ранее нормально функционировавшей иммунной системы;</w:t>
      </w:r>
    </w:p>
    <w:p w:rsidR="00A51889" w:rsidRDefault="00021908">
      <w:pPr>
        <w:pStyle w:val="a6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Наличие нескольких клинических проявлений в виде очагов хронической инфекции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51889" w:rsidRDefault="00021908">
      <w:pPr>
        <w:pStyle w:val="a6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иммунном статусе изменения показателей системы врожденного и адаптивного иммунитета носят непостоянный характер;</w:t>
      </w:r>
    </w:p>
    <w:p w:rsidR="00A51889" w:rsidRDefault="00021908">
      <w:pPr>
        <w:pStyle w:val="a6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Возможность достижения клинико-иммунологического эффекта при проведении адекватной терапии или спонтанное выздоровление.  </w:t>
      </w:r>
    </w:p>
    <w:p w:rsidR="00A51889" w:rsidRDefault="00A51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51889" w:rsidRDefault="00A5188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579"/>
        <w:gridCol w:w="7501"/>
      </w:tblGrid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ОЗНАКОМЬТЕСЬ С СИТУАЦИЕЙ И ДАЙТЕ РАЗВЕРНУТЫЕ ОТВЕТЫ НА ВОПРОСЫ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девочки 12 лет обратились  к врачу-иммунологу  с жалобами на периодически возникающие у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изолированные отеки в области губ, глаз, языка, не сопровождающиеся зудом и кожными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высыпаниями, спонтанно разрешающиеся в течение 24-72 часов. Отмечают связь возникновения симптомов со стоматологическими манипуляциями, психоэмоциональным стрессом.  Эффекта от лечения антигистаминными препаратами не отмечали. При сборе анамнезе было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лено, что мать девочки имеет аналогичные проявления, беспокоящие ее также с детства.</w:t>
            </w:r>
          </w:p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данные:</w:t>
            </w:r>
          </w:p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 компонент комплемента – 1,5 г/л (норма 0,9-1,8 г/л)</w:t>
            </w:r>
          </w:p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 компонент комплемента  - 0,12 г/л (норма 0,2-0,4 г/л)</w:t>
            </w:r>
          </w:p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 ингибитор - 0,06 г/л (норма 0,18-0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,26 г/л)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A5188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Укажите диагноз 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Первичный иммунодефицит. Наследственный ангиоотек.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A5188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Укажите критерии постановки диагноза. 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Изолированные отеки, рецидивирующие эпизоды, триггерные факторы, положительный семейный анамнез, сниженные уровни С4 компонента системы комплемента и С1-ингибитора.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A5188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Какова причина отеков?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развития отеков обусловлен наследственным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фицитом С1-ингибитора (белка, ингибирующего 1 компонент системы комплемента, а также  компоненты фибринолитического, коагуляционного и кининового путей). Симптомы заболевания возникают в результате неконтролируемого синтеза брадикинина - медиатора,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вызывает расслабление гладких мыщц сосудов, увеличение проницаемости сосудов и выход плазмы в интерстициальное пространство, что приводит к возникновению отеков. 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типичные места возникновения отеков при НАО?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Отеки могут возникать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 (губы, веки, язык), конечностях, гениталиях, слизистой респираторного и пищеварительного трактов.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препараты, используемые для лечения наследственного ангиоотека.</w:t>
            </w:r>
          </w:p>
        </w:tc>
      </w:tr>
      <w:tr w:rsidR="00A51889">
        <w:trPr>
          <w:jc w:val="center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лекарственные средства на основе рекомбинантного С1-ингиб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итора, свежезамороженная плазма, андрогены, аминокапроновая кислота</w:t>
            </w:r>
          </w:p>
        </w:tc>
      </w:tr>
    </w:tbl>
    <w:p w:rsidR="00A51889" w:rsidRDefault="00A51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51889" w:rsidRDefault="00A51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51889" w:rsidRDefault="0002190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2.</w:t>
      </w:r>
    </w:p>
    <w:p w:rsidR="00A51889" w:rsidRDefault="00021908">
      <w:pPr>
        <w:pStyle w:val="a6"/>
        <w:numPr>
          <w:ilvl w:val="3"/>
          <w:numId w:val="7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Аллергический ринит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Аллергический ринит (АР)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заболевание, характеризующееся IgEопосредованным воспалением слизистой оболочки полости носа (которое развивается под действием аллергенов) и наличием ежедневно проявляющихся в течение часа и более хотя бы двух из следующих симптомов: заложенность (обст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рукция) носа, выделения из носа (ринорея), чихание, зуд в полости носа.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Аллергический ринит представляет серьезную проблему в связи с широким распространением, ежегодным повсеместным ростом заболеваемости, частыми осложнениями, а также резким снижением 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доспособности и качества жизни пациентов. По результатам эпидемиологических исследований, аллергическим ринитом страдает около 20% населения. Распространенность аллергического ринита в различных странах мира достигает 35%, при этом очень часто (в 50–90%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учаев) имеют место сочетания заболевания с аллергическим конъюнктивитом и атопической бронхиальной астмой.</w:t>
      </w:r>
    </w:p>
    <w:p w:rsidR="00A51889" w:rsidRDefault="0002190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</w:t>
      </w:r>
    </w:p>
    <w:p w:rsidR="00A51889" w:rsidRDefault="0002190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 классифицируют по форме, тяжести течения и стадии заболевания.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международных согласительных документов по 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(EAACI//WAO, ARIA), которой в настоящее время отдается предпочтение, предлагает разделять аллергический ринит по характеру течения на интермиттирующий АР (симптомы беспокоят менее 4 дней в неделю или менее 4 недель в году) и персистирующий АР (симптомы 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покоят более 4 дней в неделю или более 4 недель в году).</w:t>
      </w:r>
    </w:p>
    <w:p w:rsidR="00A51889" w:rsidRDefault="0002190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тяжести течения выделяют АР:</w:t>
      </w:r>
    </w:p>
    <w:p w:rsidR="00A51889" w:rsidRDefault="00021908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степени тяжести (у пациента имеются лишь незначительные клинические проявления болезни, не нарушающие дневную активность и сон);</w:t>
      </w:r>
    </w:p>
    <w:p w:rsidR="00A51889" w:rsidRDefault="00021908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степени тяжести (симпто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нарушают сон пациента, препятствуют работе, учебе, занятиям спортом).</w:t>
      </w:r>
    </w:p>
    <w:p w:rsidR="00A51889" w:rsidRDefault="00021908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степени тяжести (симптомы настолько выражены, что пациент не может нормально работать, учиться, заниматься спортом или проводить досуг и спать ночью, если не получает лечения)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889" w:rsidRDefault="0002190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постановке диагноза необходимо также указывать стадию заболевания: обострение или ремиссию аллергического ринита.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этиологического фактора выделяют сезонный (САР), круглогодичный (бытовой или профессиональный) АР (КАР). Причиной САР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сезонное появление аллергенов в воздухе (пыльца растений, споры простейших грибов). Распространенность САР зависит от региона, времени года (сезона цветения) и местного климата. Сезонный аллергический ринит – самое частое проявление поллиноза. КАР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у пациентов с сенсибилизацией к аллергенам клещей домашней пыли, библиотечной пыли, эпидермальным аллергенам животных и птиц,  аллергенам плесневых грибов, пищевых продуктов и лекарственных препаратов при постоянном их приеме, профессиональным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аллергенам.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Патогенез заболевания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развития АР лежит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-опосредованный тип аллергических реакций. Аллергены, попадая вместе с воздухом в полость носа, вызывают развитие сенсибилизации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организма с выработкой специфических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антител. При их повтор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попадании на слизистую оболочку запускается аллергическая IgE-зависимая реакция, происходит активация тучных клеток, их дегрануляция, выброс медиаторов воспаления (гистамин, простагландин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лейкотриены  С4,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Е4), фактор активации тромбоцитов-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др.), которые оказывают воздействие на клетки мишени: вызывают повышение сосудистой проницаемости и отек тканей, гиперсекрецию слизистых желез, раздражение периферических нервных окончаний. Эти изменения составляют основу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ранней фазы аллергической реакци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развивающейся в течение первых 15-20 минут после контакта с аллергеном. Помимо указанных действий, высвобожденные медиаторы привлекают в зону аллергической реакции другие клетки-участники: базофилы, эозинофилы, моноциты, лимфоциты, нейтрофилы, которые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активируются и секретируют проаллергические (провоспалительные) медиаторы. Действие этих клеток и их медиаторов формирует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позднюю (или отсроченную) фазу аллергической реакции.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Поздняя фаза обусловливает поддержание аллергического воспаления в ткани,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ронизацию процесса, формирование и усиление аллерген-неспецифической тканевой гиперреактивности, выражающейся в повышении чувствительности уже не только к конкретному аллергену, но и к разнообразным неспецифическим раздражающим воздействиям (дымы, газы,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зкие запахи и пр.).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АР устанавливается на основании характерных жалоб, данных анамнеза, клинических проявлений и результатов специфической аллергологической диагностики, направленной на выявление причиннозначимых аллергенов.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 беспокоит заложенность носа, чихание, обильное отделяемое, зуд в полости носа. Типичные симптомы АР часто сочетаются с глазными симптомами, особенно у пациентов с повышенной чувствительностью к пыльцевым аллергенам. Аллергический ринит нередко сопровож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зудом неба и глотки (фарингит), снижением слуха (евстахеит), осиплостью голоса (ларингит). Кроме того, пациент может отмечать появление симптомов бронхообструкции, т.к. аллергический ринит является важнейшим фактором риска развития бронхиальной астм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часто предшествует ей.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сборе аллергологического анамнеза необходимо обратить внимание на сезонность типичных симптомов ринита, либо их появление при контакте с определенными аллергенами («эффект элиминации») Появление сезонных симптомов в одно и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время года – возможный индикатор роли пыльцы или спор плесеневых грибов; ухудшение в домашних условиях – показатель сенсибилизации к эпидермальным аллергенам или клещам домашней пыли; при ухудшении состояния пациента на производстве нельзя исключить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 профессиональных аллергенов. У больных с эпидермальной аллергией симптомы аллергического ринита, а также других аллергических заболеваний могут возникать при контакте с животными или при ношении меха и одежды из шерсти.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опросе пациента следует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информацию о наследственности, условиях жизни больного, в том числе об особенностях его работы. Необходимо выявить наличие или отсутствие эффекта элиминации, влияние факторов погоды, продуктов питания, смены климатической зоны.</w:t>
      </w:r>
    </w:p>
    <w:p w:rsidR="00A51889" w:rsidRDefault="00021908">
      <w:pPr>
        <w:tabs>
          <w:tab w:val="left" w:pos="90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физикальном осмотре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затрудненное носовое дыхание; приступообразное чихание; постоянное обильное отделение водянистого секрета из полости носа, в случае присоединения вторичной инфекции выделяемый секрет 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носить слизисто-гнойный характер. У детей дополнительно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наблюдаются следующие клинические симптомы:</w:t>
      </w:r>
    </w:p>
    <w:p w:rsidR="00A51889" w:rsidRDefault="00021908">
      <w:pPr>
        <w:numPr>
          <w:ilvl w:val="0"/>
          <w:numId w:val="11"/>
        </w:numPr>
        <w:tabs>
          <w:tab w:val="left" w:pos="907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«аллергический салют» - поперечная складка на кончике носа в результате постоянного потирания носа;</w:t>
      </w:r>
    </w:p>
    <w:p w:rsidR="00A51889" w:rsidRDefault="00021908">
      <w:pPr>
        <w:numPr>
          <w:ilvl w:val="0"/>
          <w:numId w:val="11"/>
        </w:numPr>
        <w:tabs>
          <w:tab w:val="left" w:pos="907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темные круги под глазами – результат венозного застоя, возникающего на фоне хронической назальной обструкц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ии;</w:t>
      </w:r>
    </w:p>
    <w:p w:rsidR="00A51889" w:rsidRDefault="00021908">
      <w:pPr>
        <w:numPr>
          <w:ilvl w:val="0"/>
          <w:numId w:val="11"/>
        </w:numPr>
        <w:tabs>
          <w:tab w:val="left" w:pos="90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развития лицевого черепа в виде «готического» неба, неправильного прикуса, уплощения моляров.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и инструментальные методы исследования включают в себя ОАК и цитологическое исследование секрета из полости носа, которые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эозинофилии, риноскопию, рентгенологическое исследование полости носа и околоносовых пазух, при необходимости возможно дополнительное проведение компьютерной томографии полости носа, передней риноманометрии и эндоскопическое исследование 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носа.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Специфическое аллергологическое обследование включает в себя проведение кожного тестирования с аллергенами, назального провокационного теста с аллергеном, определение уровня общего сывороточного IgE и уровня аллерген-специфических сывороточных 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dotted" w:color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больных с симптомами ринита при наличии в анамнезе взаимосвязи клинических проявлений заболевания с контактом причинно-значимыми аллергенами, но отрицательными результатами специфического аллергологического обследования может быть диагностирован локал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 аллергический ринит.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>у больных с симптомами ринита и отрицательными результатами специфического аллергологического обследования эта форма АР может быть представлена в 47–62,5% случаев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dotted" w:color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Локальный аллергический ринит (ЛАР)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заболевание, характеризующееся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локальной (в слизистой оболочке носа) гиперпродукцией IgE против круглогодичных и сезонных аллергенов, Th2-профилем воспаления в слизистой оболочке носа в ответ на аллергенный стимул, отсутствием специфических IgE в сыворотке крови и отрицательными 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татами кожных проб с аллергенами, при этом заболевание проявляется типичными симптомами АР. Для подтверждения диагноза  ЛАР необходимо определение наличия специфических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антител в назальном секрете. 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>Локальный аллергический ринит (ЛАР) – заболевание, ха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>рактеризующееся локальной (в слизистой оболочке носа) гиперпродукцией IgE против круглогодичных и сезонных аллергенов, Th2-профилем воспаления в слизистой оболочке носа в ответ на аллергенный стимул, отсутствием специфических IgE в сыворотке крови и отрица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>тельными результатами кожных проб с аллергенами, при этом заболевание проявляется типичными симптомами АР.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dotted" w:color="FFFFFF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>Локальный аллергический ринит (ЛАР) является формой аллергического ринита (АР) с типичными клиническими симптомами и данными анамнеза, но отрицательн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 xml:space="preserve">ыми результатами кожных проб и отсутствием специфических иммуноглобулинов класса E (IgE) в сыворотке крови. Основу патогенеза ЛАР составляет локальная (в слизистой оболочке носа) гиперпродукция IgE-антител к круглогодичным и сезонным аллергенам. Назальный 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>провокационный тест с аллергеном и определение специфических IgE в носу составляют основу диагностики ЛАР.Локальный аллергический ринит (ЛАР) является формой аллергического ринита (АР) с типичными клиническими симптомами и данными анамнеза, но отрицательны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>ми результатами кожных проб и отсутствием специфических иммуноглобулинов класса E (IgE) в сыворотке крови. Основу патогенеза ЛАР составляет локальная (в слизистой оболочке носа) гиперпродукция IgE-антител к круглогодичным и сезонным аллергенам. Назальный п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>ровокационный тест с аллергеном и определение специфических IgE в носу составляют основу диагностики ЛАР.Локальный аллергический ринит (ЛАР) является формой аллергического ринита (АР) с типичными клиническими симптомами и данными анамнеза, но отрицательным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>и результатами кожных проб и отсутствием специфических иммуноглобулинов класса E (IgE) в сыворотке крови. Основу патогенеза ЛАР составляет локальная (в слизистой оболочке носа) гиперпродукция IgE-антител к круглогодичным и сезонным аллергенам. Назальный пр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>овокационный тест с аллергеном и определение специфических IgE в носу составляют основу диагностики ЛАР.Локальный аллергический ринит (ЛАР) является формой аллергического ринита (АР) с типичными клиническими симптомами и данными анамнеза, но отрицательными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 xml:space="preserve"> результатами кожных проб и отсутствием специфических иммуноглобулинов класса E (IgE) в сыворотке крови. Основу патогенеза ЛАР составляет локальная (в слизистой оболочке носа) гиперпродукция IgE-антител к круглогодичным и сезонным аллергенам. Назальный про</w:t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dotted" w:color="FFFFFF"/>
          <w:lang w:eastAsia="ru-RU"/>
        </w:rPr>
        <w:t>вокационный тест с аллергеном и определение специфических IgE в носу составляют основу диагностики ЛАР.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dotted" w:color="FFFFFF"/>
          <w:lang w:eastAsia="ru-RU"/>
        </w:rPr>
        <w:t>Дифференциальную диагностику АР проводят с инфекционным, вазомоторным, профессиональным, медикаментозным ринитами, неаллергическим ринитом с синдромом эо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dotted" w:color="FFFFFF"/>
          <w:lang w:eastAsia="ru-RU"/>
        </w:rPr>
        <w:t>зинофилии (NARES), а также идиопатическим (неаллергический неинфекционный) ринитом.</w:t>
      </w:r>
    </w:p>
    <w:p w:rsidR="00A51889" w:rsidRDefault="0002190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Терапия аллергического ринита</w:t>
      </w:r>
    </w:p>
    <w:p w:rsidR="00A51889" w:rsidRDefault="0002190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лечения АР — полный контроль над симптомами заболевания, т.е. устранение симптомов ринита с помощью комплекса лечебных мероприятий. Алгоритм лечения АР включает в себя:</w:t>
      </w:r>
    </w:p>
    <w:p w:rsidR="00A51889" w:rsidRDefault="000219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Элиминационные мероприятия;</w:t>
      </w:r>
    </w:p>
    <w:p w:rsidR="00A51889" w:rsidRDefault="000219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Фармакотерапию (местную, системную);</w:t>
      </w:r>
    </w:p>
    <w:p w:rsidR="00A51889" w:rsidRDefault="000219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ческую иммунотерапию;</w:t>
      </w:r>
    </w:p>
    <w:p w:rsidR="00A51889" w:rsidRDefault="000219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Образование пациентов.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Элиминационные мероприятия заключаются в устранении причинного аллергена или ограничение контакта с ним и являются первым и необходимым шагом в лечении больных АР. Элиминация аллергенов уменьшает выраженность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проявлений АР и потребность в медикаментозном лечении.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наличии сенсибилизации к аллергенам к домашней пыли проводятся мероприятия, направленные на уменьшение концентрации аллергенов в жилых зонах. Необходимо хорошо проветривать помещение,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низкую влажность, проводить влажную уборку, не допускать появления тараканов и плесневых грибов. Следует избавиться от тяжелых штор, ковров, старых вещей. Подушки и одеяла должны быть из специальных синтетических материалов, периодически их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 стирать. Важно рекомендовать использование защищающего постельного белья. Целесообразно использовать химические средства (акарициды), уничтожающие клещей.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эффективная мера по элиминации аллергенов перхоти (шерсти) животных и пера птиц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удаление животных из дома и тщательная уборка помещения. При наличии пыльцевой сенсибилизации элиминационные мероприятия направлены на ограничение контакта с пыльцой. При тяжелом течении сезонного аллергического ринита пациенту может быть рекомендовано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уехать в другую местность, где нет растений, вызывающих развитие заболевания (полная климатическая элиминация) или их цветение происходит в другое время. Меры частичной элиминации предусматривают:</w:t>
      </w:r>
    </w:p>
    <w:p w:rsidR="00A51889" w:rsidRDefault="00021908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прогулок в сухую ветреную погоду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поездок за город.</w:t>
      </w:r>
    </w:p>
    <w:p w:rsidR="00A51889" w:rsidRDefault="00021908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попадания пыльцы на слизистые верхних дыхательных путей и глаз, а именно: ношение солнцезащитных очков, частое умывание лица, ежедневный душ, особенно после пребывания на улице.</w:t>
      </w:r>
    </w:p>
    <w:p w:rsidR="00A51889" w:rsidRDefault="00021908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попадания пыльцы растений в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лые помещения: закрывать форточки и окна сеткой, использовать очистители воздуха, менять одежду при возвращении с улицы.</w:t>
      </w:r>
    </w:p>
    <w:p w:rsidR="00A51889" w:rsidRDefault="00021908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из рациона пищевых продуктов и фитопрепаратов, обладающих перекрестными аллергенными свойствами с пыльцой растений.</w:t>
      </w:r>
    </w:p>
    <w:p w:rsidR="00A51889" w:rsidRDefault="00021908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аллергического ринита используются препараты для патогенетической и симптоматической терапии. Патогенетические средства представлены глюкокортикостероидами (ГКС), антигистаминными средствами, стабилизаторами тучных клеток (кромоны) и антилейкотриеновыми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препаратами. В качестве симптоматической терапии пациентам назначают сосудосуживающие средства (деконгестанты) и антихолинергические препараты.</w:t>
      </w:r>
    </w:p>
    <w:p w:rsidR="00A51889" w:rsidRDefault="00021908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препараты интраназальных АГП и ИНГКС сочетают действие обоих классов препаратов – быстрое 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 выраженный противовоспалительный эффект. На сегодняшний день известны комбинации: Флутиказон пропионата / Азеластина, который назначается по 1 дозе (50 мкг/137 мкг) в каждый носовой ход 2 раза в сутки и Мометазона фуроат / Азеластин по 1 дозе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 мкг/140 мкг) в каждый носовой ход 2 раза в сутки.</w:t>
      </w:r>
    </w:p>
    <w:p w:rsidR="00A51889" w:rsidRDefault="00021908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Антилейкотриеновые средства (АЛП) являются блокаторами CystLT-рецепторов и считаются перспективными в терапии АР. По эффективности монтелукаст натрия по 10 мг в сутки и зафирлукаст по 40 мг в сутки, прев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осходят плацебо, но уступают антигистаминным препаратам и топическим ГКС.</w:t>
      </w:r>
    </w:p>
    <w:p w:rsidR="00A51889" w:rsidRDefault="00021908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Кромоны оказывают действие на тучные клетки, стабилизируя их мембрану. Препараты менее эффективны, чем антигистаминные средства и местные ГКС, но являются безопасными и практически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 лишены побочных эффектов. Они не являются основными средствами лечения АР, но показаны для профилактики и лечения легкого АР. Также эти препараты могут быть препаратами выбора при лечении детей младшего возраста.</w:t>
      </w:r>
    </w:p>
    <w:p w:rsidR="00A51889" w:rsidRDefault="00021908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полной блокады носового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ыхания за несколько минут до интраназального введения противоаллергических препаратов применяют стимуляторы адренорецепторов (деконгестанты) по 2–3 инстилляции 2–4 раза в сутки. Длительность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применения составляет 3–5 суток. Комбинированные препараты 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раназальных АГП и деконгестантов также используются как симптоматическая терапия для быстрого уменьшения заложенности носа. Не рекомендуется использовать сосудосуживающие средства более 3 дней.</w:t>
      </w:r>
    </w:p>
    <w:p w:rsidR="00A51889" w:rsidRDefault="00021908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обильной назальной секреции показаны антихолинергические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репараты, содержащие ипратропиум бромид по 2–3 дозы в каждый носовой ход 3 раза в сутки. В России из препаратов данной группы для интраназального применения зарегистрирован лишь комбинированный препарат ипратропия бромида с ксилометазолином.</w:t>
      </w:r>
    </w:p>
    <w:p w:rsidR="00A51889" w:rsidRDefault="00021908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азличных методов медикаментозного лечения должны определяться:</w:t>
      </w:r>
    </w:p>
    <w:p w:rsidR="00A51889" w:rsidRDefault="0002190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эффективностью их воздействия на отдельные симптомы и на заболевание в целом,</w:t>
      </w:r>
    </w:p>
    <w:p w:rsidR="00A51889" w:rsidRDefault="0002190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риском развития побочных эффектов и осложнений,</w:t>
      </w:r>
    </w:p>
    <w:p w:rsidR="00A51889" w:rsidRDefault="0002190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стоимостью курсов лечения.</w:t>
      </w:r>
    </w:p>
    <w:p w:rsidR="00A51889" w:rsidRDefault="00021908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АР должно быть ступенчатым и 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оиться в зависимости от систематичности появления симптомов и тяжести заболевания.</w:t>
      </w:r>
    </w:p>
    <w:p w:rsidR="00A51889" w:rsidRDefault="0002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АСИТ при аллергическом рините назначается при среднетяжелом и тяжелом течении заболевания. Основные показания для проведения АСИТ:</w:t>
      </w:r>
    </w:p>
    <w:p w:rsidR="00A51889" w:rsidRDefault="00021908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элиминации причинно-значимог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аллергена.</w:t>
      </w:r>
    </w:p>
    <w:p w:rsidR="00A51889" w:rsidRDefault="00021908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Четкая доказанность роли аллергена в этиологии заболевания (по клиническим данным и результатам специфической диагностики).</w:t>
      </w:r>
    </w:p>
    <w:p w:rsidR="00A51889" w:rsidRDefault="00021908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IgЕ-зависимой гиперчувствительности к аллергену (по результатам кожного тестирования и уровню специфическ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IgЕ, которые сопоставляются с клиническими проявлениями заболевания).</w:t>
      </w:r>
    </w:p>
    <w:p w:rsidR="00A51889" w:rsidRDefault="00021908">
      <w:pPr>
        <w:numPr>
          <w:ilvl w:val="0"/>
          <w:numId w:val="1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сезонном аллергическом рините эффективность АСИТ достигает 80-90%. Для достижения стойкого эффекта проводят 3-5 курсов такой терапии.</w:t>
      </w:r>
    </w:p>
    <w:p w:rsidR="00A51889" w:rsidRDefault="00021908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Иммунопатогенез и иммунодиагностика </w:t>
      </w:r>
      <w:r>
        <w:rPr>
          <w:rFonts w:ascii="Times New Roman" w:hAnsi="Times New Roman" w:cs="Times New Roman"/>
          <w:b/>
          <w:sz w:val="24"/>
          <w:szCs w:val="24"/>
        </w:rPr>
        <w:t>аутоиммунных заболеваний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Аутоиммунные заболевания (АИЗ)</w:t>
      </w:r>
      <w:r>
        <w:rPr>
          <w:rFonts w:ascii="Times New Roman" w:hAnsi="Times New Roman" w:cs="Times New Roman"/>
          <w:sz w:val="24"/>
          <w:szCs w:val="24"/>
        </w:rPr>
        <w:t xml:space="preserve"> - это  патологические процессы, основой которых служит самоподдерживающийся иммунный ответ на собственные антигены организма (аутоантигены), что приводит к повреждению клеток, экспрессирующих эти аутоантигены. Аутоиммунные процессы развиваются при нарушен</w:t>
      </w:r>
      <w:r>
        <w:rPr>
          <w:rFonts w:ascii="Times New Roman" w:hAnsi="Times New Roman" w:cs="Times New Roman"/>
          <w:sz w:val="24"/>
          <w:szCs w:val="24"/>
        </w:rPr>
        <w:t>ии механизмов развития и поддержания иммунологической толерантности (аутотолерантности).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Иммунологическая толерантность</w:t>
      </w:r>
      <w:r>
        <w:rPr>
          <w:rFonts w:ascii="Times New Roman" w:hAnsi="Times New Roman" w:cs="Times New Roman"/>
          <w:sz w:val="24"/>
          <w:szCs w:val="24"/>
        </w:rPr>
        <w:t xml:space="preserve"> – утрата или ослабление способности организма к иммунному ответу на данный антиген в результате предшествующего контакта с тем же</w:t>
      </w:r>
      <w:r>
        <w:rPr>
          <w:rFonts w:ascii="Times New Roman" w:hAnsi="Times New Roman" w:cs="Times New Roman"/>
          <w:sz w:val="24"/>
          <w:szCs w:val="24"/>
        </w:rPr>
        <w:t xml:space="preserve"> антигеном.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Аутоантигены</w:t>
      </w:r>
      <w:r>
        <w:rPr>
          <w:rFonts w:ascii="Times New Roman" w:hAnsi="Times New Roman" w:cs="Times New Roman"/>
          <w:sz w:val="24"/>
          <w:szCs w:val="24"/>
        </w:rPr>
        <w:t xml:space="preserve"> – компоненты клеток и тканей собственного организма, ставшие частично чужеродными под действием различных повреждающих факторов или в результате нарушения иммунологической толерантности.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Аутоантитела</w:t>
      </w:r>
      <w:r>
        <w:rPr>
          <w:rFonts w:ascii="Times New Roman" w:hAnsi="Times New Roman" w:cs="Times New Roman"/>
          <w:sz w:val="24"/>
          <w:szCs w:val="24"/>
        </w:rPr>
        <w:t xml:space="preserve"> – антитела, способ</w:t>
      </w:r>
      <w:r>
        <w:rPr>
          <w:rFonts w:ascii="Times New Roman" w:hAnsi="Times New Roman" w:cs="Times New Roman"/>
          <w:sz w:val="24"/>
          <w:szCs w:val="24"/>
        </w:rPr>
        <w:t>ные взаимодействовать с антигенами собственного организма (аутоантигенами).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настоящее время иммунологические методы, используемые в клинической иммунологии, основаны почти исключительно на двух методических подходах: при определении гуморальных факт</w:t>
      </w:r>
      <w:r>
        <w:rPr>
          <w:rFonts w:ascii="Times New Roman" w:hAnsi="Times New Roman" w:cs="Times New Roman"/>
          <w:sz w:val="24"/>
          <w:szCs w:val="24"/>
        </w:rPr>
        <w:t xml:space="preserve">оров используется метод иммуноферментного анализа, а при изучении клеток - метод проточной лазерной цитофлуорометрии. Иммуноблоттинг и иммуноферментный анализ (ИФА) относятся к количественным методам иммунолигандного анализа. Преимущества иммунохимических </w:t>
      </w:r>
      <w:r>
        <w:rPr>
          <w:rFonts w:ascii="Times New Roman" w:hAnsi="Times New Roman" w:cs="Times New Roman"/>
          <w:sz w:val="24"/>
          <w:szCs w:val="24"/>
        </w:rPr>
        <w:t>методов состоят в специфичности, высокой чувствительности, относительной простоте и невысокой стоимости.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Метод иммуноферментного анализа</w:t>
      </w:r>
      <w:r>
        <w:rPr>
          <w:rFonts w:ascii="Times New Roman" w:hAnsi="Times New Roman" w:cs="Times New Roman"/>
          <w:sz w:val="24"/>
          <w:szCs w:val="24"/>
        </w:rPr>
        <w:t xml:space="preserve"> имеет серьезную теоретическую базу и достаточно совершенное инструментальное оснащение. В настоящее время использую</w:t>
      </w:r>
      <w:r>
        <w:rPr>
          <w:rFonts w:ascii="Times New Roman" w:hAnsi="Times New Roman" w:cs="Times New Roman"/>
          <w:sz w:val="24"/>
          <w:szCs w:val="24"/>
        </w:rPr>
        <w:t>т практически исключительно твердофазный вариант метода (</w:t>
      </w:r>
      <w:r>
        <w:rPr>
          <w:rFonts w:ascii="Times New Roman" w:hAnsi="Times New Roman" w:cs="Times New Roman"/>
          <w:sz w:val="24"/>
          <w:szCs w:val="24"/>
          <w:lang w:val="en-US"/>
        </w:rPr>
        <w:t>ELISA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Enzyme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linked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immunosorbent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assay</w:t>
      </w:r>
      <w:r>
        <w:rPr>
          <w:rFonts w:ascii="Times New Roman" w:hAnsi="Times New Roman" w:cs="Times New Roman"/>
          <w:sz w:val="24"/>
          <w:szCs w:val="24"/>
        </w:rPr>
        <w:t>). Его применяют в двух основных вариантах — конкурентном и двусайтовом. Конкурентный вариант обычно используют для определения антител к известным антигенам.</w:t>
      </w:r>
      <w:r>
        <w:rPr>
          <w:rFonts w:ascii="Times New Roman" w:hAnsi="Times New Roman" w:cs="Times New Roman"/>
          <w:sz w:val="24"/>
          <w:szCs w:val="24"/>
        </w:rPr>
        <w:t xml:space="preserve"> В его основе лежит конкуренция за связывание с сорбированным антигеном меченых и немеченых (определяемых) антител: мерой концентрации оцениваемых антител служит степень подавления связывания меченых антител по сравнению с контролем, в котором конкурентные</w:t>
      </w:r>
      <w:r>
        <w:rPr>
          <w:rFonts w:ascii="Times New Roman" w:hAnsi="Times New Roman" w:cs="Times New Roman"/>
          <w:sz w:val="24"/>
          <w:szCs w:val="24"/>
        </w:rPr>
        <w:t xml:space="preserve"> антитела заведомо отсутствуют. В качестве метки антител используют ферменты, чаще всего пероксидазу или щелочную фосфатазу, которые затем выявляют с помощью хромогенных субстратов. Двусайтовый вариант реакции обычно используют для определения антигена. Он</w:t>
      </w:r>
      <w:r>
        <w:rPr>
          <w:rFonts w:ascii="Times New Roman" w:hAnsi="Times New Roman" w:cs="Times New Roman"/>
          <w:sz w:val="24"/>
          <w:szCs w:val="24"/>
        </w:rPr>
        <w:t xml:space="preserve"> основан на том, что антиген практически всегда несет более одного типа эпитопов. На пластиковую поверхность фиксируют антитела против одного эпитопа изучаемого антигена. Затем позволяют антигену связаться с этими антителами и наслаивают антитела, направле</w:t>
      </w:r>
      <w:r>
        <w:rPr>
          <w:rFonts w:ascii="Times New Roman" w:hAnsi="Times New Roman" w:cs="Times New Roman"/>
          <w:sz w:val="24"/>
          <w:szCs w:val="24"/>
        </w:rPr>
        <w:t>нные против другого эпитопа. Связывание этих антител регистрируют с помощью антиизотипических антител, меченых пероксидазой или иными ферментами. В настоящее время с целью повышения чувствительности и стандартности все чаще вторые антитела метят стрептавид</w:t>
      </w:r>
      <w:r>
        <w:rPr>
          <w:rFonts w:ascii="Times New Roman" w:hAnsi="Times New Roman" w:cs="Times New Roman"/>
          <w:sz w:val="24"/>
          <w:szCs w:val="24"/>
        </w:rPr>
        <w:t>ином, связывание которого затем выявляется с помощью биотина, конъюгированного с ферментом. Концентрация антигена (или второго антитела в случае определения антител) пропорциональна связыванию ферментативной метки.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Иммуноблоттинг – </w:t>
      </w:r>
      <w:r>
        <w:rPr>
          <w:rFonts w:ascii="Times New Roman" w:hAnsi="Times New Roman" w:cs="Times New Roman"/>
          <w:sz w:val="24"/>
          <w:szCs w:val="24"/>
        </w:rPr>
        <w:t xml:space="preserve">(от англ. «blot» – </w:t>
      </w:r>
      <w:r>
        <w:rPr>
          <w:rFonts w:ascii="Times New Roman" w:hAnsi="Times New Roman" w:cs="Times New Roman"/>
          <w:sz w:val="24"/>
          <w:szCs w:val="24"/>
        </w:rPr>
        <w:t>пятно) – метод идентификации антигенов (или антител) с помощью известных сывороток (или антигенов). Представляет собой сочетание гель-электрофореза с ИФА. Первоначально бактериальные клетки или вирионы разрушают при помощи ультразвука, а затем методом элек</w:t>
      </w:r>
      <w:r>
        <w:rPr>
          <w:rFonts w:ascii="Times New Roman" w:hAnsi="Times New Roman" w:cs="Times New Roman"/>
          <w:sz w:val="24"/>
          <w:szCs w:val="24"/>
        </w:rPr>
        <w:t>трофореза разделяют все антигены вируса или бактериальных клеток и получают коммерческий реагент на специальной нитроцеллюлозной плёнке. При постановке иммуноблоттинга на плёнку с известными антигенами наносится исследуемая сыворотка пациента. После инкуба</w:t>
      </w:r>
      <w:r>
        <w:rPr>
          <w:rFonts w:ascii="Times New Roman" w:hAnsi="Times New Roman" w:cs="Times New Roman"/>
          <w:sz w:val="24"/>
          <w:szCs w:val="24"/>
        </w:rPr>
        <w:t>ции и отмывания несвязавшихся антител, приступают к ИФА – на плёнку наносят антисыворотку к иммуноглобулинам человека, меченную ферментом, и хромогенный субстрат, изменяющий окраску при взаимодействии с ферментом. При наличии комплексов антиген-антитело-ан</w:t>
      </w:r>
      <w:r>
        <w:rPr>
          <w:rFonts w:ascii="Times New Roman" w:hAnsi="Times New Roman" w:cs="Times New Roman"/>
          <w:sz w:val="24"/>
          <w:szCs w:val="24"/>
        </w:rPr>
        <w:t>тисыворотка к иммуноглобулину-фермент на носителе появляются окрашенные пятна. Метод иммуноблоттинга позволяет отдельно обнаружить антитела на различные антигены возбудителя (например, при ВИЧ-инфекции иммуноблоттинг выявляет антитела на gp120, gp24 и друг</w:t>
      </w:r>
      <w:r>
        <w:rPr>
          <w:rFonts w:ascii="Times New Roman" w:hAnsi="Times New Roman" w:cs="Times New Roman"/>
          <w:sz w:val="24"/>
          <w:szCs w:val="24"/>
        </w:rPr>
        <w:t>ие антигены вируса). Иммуноблоттинг является высокоспецифичным и высокочувствительным референтным методом, подтверждающим диагноз для пациентов с положительными или неопределенными результатами анализов, полученных в т.ч. при помощи реакции прямой гемагглю</w:t>
      </w:r>
      <w:r>
        <w:rPr>
          <w:rFonts w:ascii="Times New Roman" w:hAnsi="Times New Roman" w:cs="Times New Roman"/>
          <w:sz w:val="24"/>
          <w:szCs w:val="24"/>
        </w:rPr>
        <w:t>тинации (РПГА)  или ИФА.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Метод проточной цитофлуорометрии</w:t>
      </w:r>
      <w:r>
        <w:rPr>
          <w:rFonts w:ascii="Times New Roman" w:hAnsi="Times New Roman" w:cs="Times New Roman"/>
          <w:sz w:val="24"/>
          <w:szCs w:val="24"/>
        </w:rPr>
        <w:t xml:space="preserve"> зародился благодаря созданию прибора —лазерного проточного цитофлуориметра, позволяющего регистрировать с помощью лазерного луча параметры клеток, походящих через капилляр. Параметры регистриру</w:t>
      </w:r>
      <w:r>
        <w:rPr>
          <w:rFonts w:ascii="Times New Roman" w:hAnsi="Times New Roman" w:cs="Times New Roman"/>
          <w:sz w:val="24"/>
          <w:szCs w:val="24"/>
        </w:rPr>
        <w:t>ются автоматически и подвергаются компьютерной обработке, результаты которой визуализируются в виде графиков. Метод позволяет исследовать параметры, основанные на светорассеянии - прямом (размер клетки) и боковом (зернистость). На основании этих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строится двумерное </w:t>
      </w:r>
      <w:r>
        <w:rPr>
          <w:rFonts w:ascii="Times New Roman" w:hAnsi="Times New Roman" w:cs="Times New Roman"/>
          <w:sz w:val="24"/>
          <w:szCs w:val="24"/>
        </w:rPr>
        <w:lastRenderedPageBreak/>
        <w:t>распределение клеток, в котором может быть задана область (соответствующая клеткам конкретных типов, локализация которых в этом поле известна). Дальнейший анализ строится на выявлении связанных с клетками флуоресцентных красителей. Крас</w:t>
      </w:r>
      <w:r>
        <w:rPr>
          <w:rFonts w:ascii="Times New Roman" w:hAnsi="Times New Roman" w:cs="Times New Roman"/>
          <w:sz w:val="24"/>
          <w:szCs w:val="24"/>
        </w:rPr>
        <w:t>ителями метят моноклональные антитела или иные реагенты, позволяющие определять маркерные молекулы на поверхности клетки (а при дополнительной обработке клеток - и внутри нее). В зависимости от числа лазеров, которым снабжен прибор, варьирует число диффере</w:t>
      </w:r>
      <w:r>
        <w:rPr>
          <w:rFonts w:ascii="Times New Roman" w:hAnsi="Times New Roman" w:cs="Times New Roman"/>
          <w:sz w:val="24"/>
          <w:szCs w:val="24"/>
        </w:rPr>
        <w:t>нцируемых цветов (в современных приборах &gt;10). Метод позволяет идентифицировать различные типы клеток, оценить плотность экспрессии маркера и другие многочисленные параметры. На этом же принципе основано фракционирование клеток, экспрессирующих определенны</w:t>
      </w:r>
      <w:r>
        <w:rPr>
          <w:rFonts w:ascii="Times New Roman" w:hAnsi="Times New Roman" w:cs="Times New Roman"/>
          <w:sz w:val="24"/>
          <w:szCs w:val="24"/>
        </w:rPr>
        <w:t>е молекулы.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Было доказано, что среди лабораторных биомаркеров АИЗ наибольшее клиническое значение имеют аутоантитела и острофазовые белки.  Целями лабораторной диагностики АИЗ являются подтверждение диагноза заболевания, оценка активности и характера</w:t>
      </w:r>
      <w:r>
        <w:rPr>
          <w:rFonts w:ascii="Times New Roman" w:hAnsi="Times New Roman" w:cs="Times New Roman"/>
          <w:sz w:val="24"/>
          <w:szCs w:val="24"/>
        </w:rPr>
        <w:t xml:space="preserve"> иммунопатологического процесса и на этой основе прогнозирование исходов и характеристика эффективности проводимой терапии.</w:t>
      </w:r>
    </w:p>
    <w:p w:rsidR="00A51889" w:rsidRDefault="00021908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Среди острофазовых белков наибольшее клиническое значение имеет определение С-реактивного белка (СРБ).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СРБ </w:t>
      </w:r>
      <w:r>
        <w:rPr>
          <w:rFonts w:ascii="Times New Roman" w:hAnsi="Times New Roman" w:cs="Times New Roman"/>
          <w:sz w:val="24"/>
          <w:szCs w:val="24"/>
        </w:rPr>
        <w:t>– один из бе</w:t>
      </w:r>
      <w:r>
        <w:rPr>
          <w:rFonts w:ascii="Times New Roman" w:hAnsi="Times New Roman" w:cs="Times New Roman"/>
          <w:sz w:val="24"/>
          <w:szCs w:val="24"/>
        </w:rPr>
        <w:t xml:space="preserve">лков острой фазы воспаления, который содержится в сыворотке и связывает капсульный полисахарид (C-полисахарид) Streptococcus pneumoniae. </w:t>
      </w:r>
      <w:r>
        <w:rPr>
          <w:rFonts w:ascii="Times New Roman" w:hAnsi="Times New Roman" w:cs="Times New Roman"/>
          <w:i/>
          <w:iCs/>
          <w:sz w:val="24"/>
          <w:szCs w:val="24"/>
        </w:rPr>
        <w:t>Методы выявления</w:t>
      </w:r>
      <w:r>
        <w:rPr>
          <w:rFonts w:ascii="Times New Roman" w:hAnsi="Times New Roman" w:cs="Times New Roman"/>
          <w:sz w:val="24"/>
          <w:szCs w:val="24"/>
        </w:rPr>
        <w:t xml:space="preserve">: СРБ определяют в реакции преципитации и в реакции агглютинации частиц латекса, покрытых антителами к </w:t>
      </w:r>
      <w:r>
        <w:rPr>
          <w:rFonts w:ascii="Times New Roman" w:hAnsi="Times New Roman" w:cs="Times New Roman"/>
          <w:sz w:val="24"/>
          <w:szCs w:val="24"/>
        </w:rPr>
        <w:t>этому белку.</w:t>
      </w:r>
    </w:p>
    <w:p w:rsidR="00A51889" w:rsidRDefault="0002190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Центральное место в лабораторной диагностике аутоиммунных заболеваний занимают серологические тесты на обнаружение циркулирующих органоспецифических аутоантител в сыворотках (или других биологических жидкостях) больных. Среди основных </w:t>
      </w:r>
      <w:r>
        <w:rPr>
          <w:rFonts w:ascii="Times New Roman" w:hAnsi="Times New Roman" w:cs="Times New Roman"/>
          <w:sz w:val="24"/>
          <w:szCs w:val="24"/>
        </w:rPr>
        <w:t>диагностических лабораторных маркеров - аутоантител следует назвать следующие: антинуклеарные антитела (АНА), ревматоидный фактор (РФ), антинейтрофильные цитоплазматические антититела  (АНЦА), антифосфолипидные антитела (АФЛ).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АНА - </w:t>
      </w:r>
      <w:r>
        <w:rPr>
          <w:rFonts w:ascii="Times New Roman" w:hAnsi="Times New Roman" w:cs="Times New Roman"/>
          <w:sz w:val="24"/>
          <w:szCs w:val="24"/>
        </w:rPr>
        <w:t>это антитела, связ</w:t>
      </w:r>
      <w:r>
        <w:rPr>
          <w:rFonts w:ascii="Times New Roman" w:hAnsi="Times New Roman" w:cs="Times New Roman"/>
          <w:sz w:val="24"/>
          <w:szCs w:val="24"/>
        </w:rPr>
        <w:t>ывающиеся с теми или иными структурами клеточного ядра. К АНА относятся:  антитела к ДНК, антитела к гистонам, антитела к нуклеосомам и др. «Золотым стандартом» для первичного скрининга больных на АНА в сыворотке крови является метод  непрямой иммунофлюоре</w:t>
      </w:r>
      <w:r>
        <w:rPr>
          <w:rFonts w:ascii="Times New Roman" w:hAnsi="Times New Roman" w:cs="Times New Roman"/>
          <w:sz w:val="24"/>
          <w:szCs w:val="24"/>
        </w:rPr>
        <w:t>сценции (НРИФ) с использованием в качестве субстрата криостатных срезов мышиной или крысиной печени (почек) либо клеток линии НЕр-2 (</w:t>
      </w:r>
      <w:r>
        <w:rPr>
          <w:rFonts w:ascii="Times New Roman" w:hAnsi="Times New Roman" w:cs="Times New Roman"/>
          <w:sz w:val="24"/>
          <w:szCs w:val="24"/>
          <w:lang w:val="en-US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Epithelial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 – эпителиальные клетки рака гортани человека). </w:t>
      </w:r>
      <w:r>
        <w:rPr>
          <w:rFonts w:ascii="Times New Roman" w:hAnsi="Times New Roman" w:cs="Times New Roman"/>
          <w:i/>
          <w:iCs/>
          <w:sz w:val="24"/>
          <w:szCs w:val="24"/>
        </w:rPr>
        <w:t>Диагностическая значимость</w:t>
      </w:r>
      <w:r>
        <w:rPr>
          <w:rFonts w:ascii="Times New Roman" w:hAnsi="Times New Roman" w:cs="Times New Roman"/>
          <w:sz w:val="24"/>
          <w:szCs w:val="24"/>
        </w:rPr>
        <w:t>. Основная цель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АНА - исключить системную красную волчанку (СКВ), поскольку при этом заболевании АНА появляются в сыворотке 95 % больных в течение трех месяцев после начала заболевания. АНА выявляются не только при СКВ, они могут обнаруживаться у пожилых, появляются при </w:t>
      </w:r>
      <w:r>
        <w:rPr>
          <w:rFonts w:ascii="Times New Roman" w:hAnsi="Times New Roman" w:cs="Times New Roman"/>
          <w:sz w:val="24"/>
          <w:szCs w:val="24"/>
        </w:rPr>
        <w:t>применении некоторых лекарственных средств, а также при некоторых артритах. Если титр АНА повышен, необходимо определить, к какому антигену они направлены, так как при разных аутоиммунных заболеваниях выявляются АНА антитела разной специфичности. Титр  АНА</w:t>
      </w:r>
      <w:r>
        <w:rPr>
          <w:rFonts w:ascii="Times New Roman" w:hAnsi="Times New Roman" w:cs="Times New Roman"/>
          <w:sz w:val="24"/>
          <w:szCs w:val="24"/>
        </w:rPr>
        <w:t xml:space="preserve"> не позволяет судить об активности заболевания и эффективности лечения.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РФ - </w:t>
      </w:r>
      <w:r>
        <w:rPr>
          <w:rFonts w:ascii="Times New Roman" w:hAnsi="Times New Roman" w:cs="Times New Roman"/>
          <w:sz w:val="24"/>
          <w:szCs w:val="24"/>
        </w:rPr>
        <w:t>это аутоантитела IgM к Fc-фрагменту IgG. В сыворотке ревматоидный фактор обычно присутствует в виде комплекса с IgG.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Методы выявления</w:t>
      </w:r>
      <w:r>
        <w:rPr>
          <w:rFonts w:ascii="Times New Roman" w:hAnsi="Times New Roman" w:cs="Times New Roman"/>
          <w:sz w:val="24"/>
          <w:szCs w:val="24"/>
        </w:rPr>
        <w:t xml:space="preserve">. В последнее время многие лаборатории </w:t>
      </w:r>
      <w:r>
        <w:rPr>
          <w:rFonts w:ascii="Times New Roman" w:hAnsi="Times New Roman" w:cs="Times New Roman"/>
          <w:sz w:val="24"/>
          <w:szCs w:val="24"/>
        </w:rPr>
        <w:t xml:space="preserve">применяют метод определения ревматоидного фактора, основанный на нефелометрии.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нефелометрическом определении ревматоидного фактора оценивается повышение мутности сыворотки после добавления к ней IgG. Сыворотку, предназначенную для определения ревматоид</w:t>
      </w:r>
      <w:r>
        <w:rPr>
          <w:rFonts w:ascii="Times New Roman" w:hAnsi="Times New Roman" w:cs="Times New Roman"/>
          <w:sz w:val="24"/>
          <w:szCs w:val="24"/>
        </w:rPr>
        <w:t>ного фактора, хранят при температуре не выше –20 °C.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Диагностическая значимость</w:t>
      </w:r>
      <w:r>
        <w:rPr>
          <w:rFonts w:ascii="Times New Roman" w:hAnsi="Times New Roman" w:cs="Times New Roman"/>
          <w:sz w:val="24"/>
          <w:szCs w:val="24"/>
        </w:rPr>
        <w:t>. В низком титре (до 1:80) ревматоидный фактор выявляется у 5 % здоровых лиц моложе 60 лет и у 30 % - старше 80 лет. Более чем у 75 % больных ревматоидным артритом титр ревматои</w:t>
      </w:r>
      <w:r>
        <w:rPr>
          <w:rFonts w:ascii="Times New Roman" w:hAnsi="Times New Roman" w:cs="Times New Roman"/>
          <w:sz w:val="24"/>
          <w:szCs w:val="24"/>
        </w:rPr>
        <w:t>дного фактора в реакции латекс-агглютинации превышает 1:80. В высоком титре ревматоидный фактор выявляется у больных с тяжелым прогрессирующим ревматоидным артритом.. Ревматоидный фактор не специфичен для ревматоидного артрита и выявляется при других аутои</w:t>
      </w:r>
      <w:r>
        <w:rPr>
          <w:rFonts w:ascii="Times New Roman" w:hAnsi="Times New Roman" w:cs="Times New Roman"/>
          <w:sz w:val="24"/>
          <w:szCs w:val="24"/>
        </w:rPr>
        <w:t>ммунных заболеваниях, сопровождающихся поражением суставов, инфекционном эндокардите, некоторых хронических заболеваниях печени и идиопатическом фиброзирующем альвеолите.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АНЦА </w:t>
      </w:r>
      <w:r>
        <w:rPr>
          <w:rFonts w:ascii="Times New Roman" w:hAnsi="Times New Roman" w:cs="Times New Roman"/>
          <w:sz w:val="24"/>
          <w:szCs w:val="24"/>
        </w:rPr>
        <w:t xml:space="preserve">– гетерогенная популяция аутоантител, реагирующих с ферментами цитоплазмы </w:t>
      </w:r>
      <w:r>
        <w:rPr>
          <w:rFonts w:ascii="Times New Roman" w:hAnsi="Times New Roman" w:cs="Times New Roman"/>
          <w:sz w:val="24"/>
          <w:szCs w:val="24"/>
        </w:rPr>
        <w:t>нейтрофилов. Различают два основных типа: АНЦА с цитоплазматическим типом иммунофлюоресцентного свечения, взаимодействующие с протеиназой -3, и АНЦА с перинуклеарным типом свечения, специфичные в отношении миелопероксидазы.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Методы выявления.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</w:t>
      </w:r>
      <w:r>
        <w:rPr>
          <w:rFonts w:ascii="Times New Roman" w:hAnsi="Times New Roman" w:cs="Times New Roman"/>
          <w:sz w:val="24"/>
          <w:szCs w:val="24"/>
        </w:rPr>
        <w:t xml:space="preserve">я этих антител используют метод иммунофлюоресценции (НРИФ) с применением в качестве клеточного субстрата фиксированных этанолом нейтрофилов. 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Диагностическая значимость</w:t>
      </w:r>
      <w:r>
        <w:rPr>
          <w:rFonts w:ascii="Times New Roman" w:hAnsi="Times New Roman" w:cs="Times New Roman"/>
          <w:sz w:val="24"/>
          <w:szCs w:val="24"/>
        </w:rPr>
        <w:t>. АНЦА являются серологическим маркером системных некротизирующих васкулитов сосудов сре</w:t>
      </w:r>
      <w:r>
        <w:rPr>
          <w:rFonts w:ascii="Times New Roman" w:hAnsi="Times New Roman" w:cs="Times New Roman"/>
          <w:sz w:val="24"/>
          <w:szCs w:val="24"/>
        </w:rPr>
        <w:t>днего и мелкого калибра , к которым относятся гигантоклеточный полиартериит, микроскопический полиангиит и синдром Чардж-Стросса.</w:t>
      </w:r>
    </w:p>
    <w:p w:rsidR="00A51889" w:rsidRDefault="0002190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АФЛ – </w:t>
      </w:r>
      <w:r>
        <w:rPr>
          <w:rFonts w:ascii="Times New Roman" w:hAnsi="Times New Roman" w:cs="Times New Roman"/>
          <w:sz w:val="24"/>
          <w:szCs w:val="24"/>
        </w:rPr>
        <w:t>гетерогенная популяция аутоантител, распознающих антигенные детерминанты анионных и нейтральных фосфолипидов, и ко</w:t>
      </w:r>
      <w:r>
        <w:rPr>
          <w:rFonts w:ascii="Times New Roman" w:hAnsi="Times New Roman" w:cs="Times New Roman"/>
          <w:sz w:val="24"/>
          <w:szCs w:val="24"/>
        </w:rPr>
        <w:t>мплексные эпитопы, образующиеся в процессе взаимодействия фосфолипидов и фосфолипидсвязывающих белков плазмы крови.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Диагностическая значимость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Клиническое значение имеют антитела к кардиолипину, выявляемые в реакции преципитации плазмы с кардиолипиновым </w:t>
      </w:r>
      <w:r>
        <w:rPr>
          <w:rFonts w:ascii="Times New Roman" w:hAnsi="Times New Roman" w:cs="Times New Roman"/>
          <w:sz w:val="24"/>
          <w:szCs w:val="24"/>
        </w:rPr>
        <w:t xml:space="preserve">антигеном и с помощью твердофазного ИФА, а также волчаночный антикоагулянт. АФЛ являются серологическим маркером антифосфолипидного синдрома и фактором риска развития тромботических осложнений и акушерской патологии при данном заболевании. </w:t>
      </w:r>
    </w:p>
    <w:p w:rsidR="00A51889" w:rsidRDefault="00021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Антите</w:t>
      </w:r>
      <w:r>
        <w:rPr>
          <w:rFonts w:ascii="Times New Roman" w:hAnsi="Times New Roman" w:cs="Times New Roman"/>
          <w:b/>
          <w:sz w:val="24"/>
          <w:szCs w:val="24"/>
        </w:rPr>
        <w:t xml:space="preserve">ла к ТПО -  </w:t>
      </w:r>
      <w:r>
        <w:rPr>
          <w:rFonts w:ascii="Times New Roman" w:hAnsi="Times New Roman" w:cs="Times New Roman"/>
          <w:sz w:val="24"/>
          <w:szCs w:val="24"/>
        </w:rPr>
        <w:t>это аутоантитела, вырабатываемые иммунной системой к ферменту щитовидной железы тиреоидной пероксидазе (ТПО). Он является ключевым ферментом образования гормонов Т4 и Т3 в щитовидной железе.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Антитела к ТПО повышаются при таких заболеваниях как:</w:t>
      </w:r>
      <w:r>
        <w:rPr>
          <w:rFonts w:ascii="Times New Roman" w:hAnsi="Times New Roman" w:cs="Times New Roman"/>
          <w:sz w:val="24"/>
          <w:szCs w:val="24"/>
        </w:rPr>
        <w:t xml:space="preserve"> аутоиммунный тиреоидит, тиреоидит Хашимото( более 90% случаев), при </w:t>
      </w:r>
      <w:hyperlink r:id="rId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болезни Грейвса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(диффузном токсическом зобе) – в  80%, при неаутоиммунных заболеваниях щитовидной железы - в 15-20%. А также они </w:t>
      </w:r>
      <w:r>
        <w:rPr>
          <w:rFonts w:ascii="Times New Roman" w:hAnsi="Times New Roman" w:cs="Times New Roman"/>
          <w:sz w:val="24"/>
          <w:szCs w:val="24"/>
        </w:rPr>
        <w:t>могут быть повышены при вирусных заболеваниях, воспалительных процессах, травме щитовидной железы, дефиците или избытке йода. У 10% людей они могут быть повышены и без каких-либо нарушений функции щитовидной железы или при наличии другой аутоиммунной патол</w:t>
      </w:r>
      <w:r>
        <w:rPr>
          <w:rFonts w:ascii="Times New Roman" w:hAnsi="Times New Roman" w:cs="Times New Roman"/>
          <w:sz w:val="24"/>
          <w:szCs w:val="24"/>
        </w:rPr>
        <w:t>огии. В некоторых случаях выработка антител к ТПО обусловлена наследственными механизмами и при этом может сочетаться с аутоиммунными заболеваниями другого рода (витилиго, ревматоидный артрит и др.). Для определения уровня антител к ТПО применяется метод И</w:t>
      </w:r>
      <w:r>
        <w:rPr>
          <w:rFonts w:ascii="Times New Roman" w:hAnsi="Times New Roman" w:cs="Times New Roman"/>
          <w:sz w:val="24"/>
          <w:szCs w:val="24"/>
        </w:rPr>
        <w:t>ФА.</w:t>
      </w:r>
    </w:p>
    <w:p w:rsidR="00A51889" w:rsidRDefault="00A518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51889" w:rsidRDefault="00A518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2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579"/>
        <w:gridCol w:w="7023"/>
      </w:tblGrid>
      <w:tr w:rsidR="00A51889">
        <w:trPr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ОЗНАКОМЬТЕСЬ С СИТУАЦИЕЙ И ДАЙТЕ РАЗВЕРНУТЫЕ ОТВЕТЫ НА ВОПРОСЫ</w:t>
            </w:r>
          </w:p>
        </w:tc>
      </w:tr>
      <w:tr w:rsidR="00A51889">
        <w:trPr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Мужчина, 43 года, страдает рецидивирующим фурункулёзом в течение 2-х лет. Направлен на консультацию иммунолога хирургом в период обострения. Неоднократно проводилось хирургическое лечение: вскрытие и санация фурункулов. Проводилось бактериологическ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исследование с определением чувствительности микрофлоры к антибиотикам. При бактериологическом исследовании высевался золотистый стафилококк. С учетом полученных результатов назначалась антибиотикотерапия. </w:t>
            </w:r>
          </w:p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очередном обострении заболевания был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 общий анализ крови с лейкоформулой, по результатам которого содержание лейкоцитов составило 13х10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 (при норме- 4,0-9,0х10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/л); процентное содержание сегментоядерных нейтрофилов составило 80%, а абсолютное содержание сегментоядерных нейтрофилов – 10,4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/л.  </w:t>
            </w:r>
          </w:p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 фагоцитоза: фагоцитарный индекс (фагоцитарный показатель) – 50% (при норме 40-80%); фагоцитарное число – 6 частиц (при норме 4-9 частиц).</w:t>
            </w:r>
          </w:p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иммуноглобулинов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сыворотки крови было в пределах нормы.</w:t>
            </w:r>
          </w:p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рекомендовано к антибиотикотерапии подключить иммуноглобулин человека антистафилококковый.  </w:t>
            </w:r>
          </w:p>
        </w:tc>
      </w:tr>
      <w:tr w:rsidR="00A51889">
        <w:trPr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A518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A518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89">
        <w:trPr>
          <w:trHeight w:val="160"/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определяется в тесте фагоцитоза?</w:t>
            </w:r>
          </w:p>
        </w:tc>
      </w:tr>
      <w:tr w:rsidR="00A51889">
        <w:trPr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фагоцитоза представляет собой метод оценки стадии поглощения. Производится подсчёт в окрашенных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препаратах процента фагоцитов, содержащих фагоцитированный материал (фагоцитарный индекс),  и среднего количества частиц, захваченных одной клеткой (фагоцитарное число).</w:t>
            </w:r>
          </w:p>
        </w:tc>
      </w:tr>
      <w:tr w:rsidR="00A51889">
        <w:trPr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нормальные значения процентного и абсолютного содержания сегментоядерных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нейтрофилов в периферической крови.</w:t>
            </w:r>
          </w:p>
        </w:tc>
      </w:tr>
      <w:tr w:rsidR="00A51889">
        <w:trPr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содержание: 47-72%. Абсолютное содержание: 2,0-5,5х10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/л.</w:t>
            </w:r>
          </w:p>
        </w:tc>
      </w:tr>
      <w:tr w:rsidR="00A51889">
        <w:trPr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изменения в содержании лейкоцитов периферической крови характерны для гнойно-воспалительных заболеваний?</w:t>
            </w:r>
          </w:p>
        </w:tc>
      </w:tr>
      <w:tr w:rsidR="00A51889">
        <w:trPr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гнойно-воспалительных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характерно повышение содержания лейкоцитов в периферической крови (лейкоцитоз), увеличение абсолютного и относительного содержания нейтрофилов и сдвиг лейкоформулы влево.</w:t>
            </w:r>
          </w:p>
        </w:tc>
      </w:tr>
      <w:tr w:rsidR="00A51889">
        <w:trPr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Правомерным ли было назначение тестов, характеризующих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фагоцитарного звена?</w:t>
            </w:r>
          </w:p>
        </w:tc>
      </w:tr>
      <w:tr w:rsidR="00A51889">
        <w:trPr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Стафилококки фагоцитируются нейтрофилами. В диагностике правомерным было назначение тестов, характеризующих состояние фагоцитарного звена.</w:t>
            </w:r>
          </w:p>
        </w:tc>
      </w:tr>
      <w:tr w:rsidR="00A51889">
        <w:trPr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Охарактеризуйте состав и назначение иммуноглобулина человека антистафилококкового.</w:t>
            </w:r>
          </w:p>
        </w:tc>
      </w:tr>
      <w:tr w:rsidR="00A51889">
        <w:trPr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1889" w:rsidRDefault="000219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человека антистафилококковый  содержит антитела к стафилококковому экзотоксину. Антитела относятся к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Препарат получают из плазмы или сыворотки доноров.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данном случае его назначение было оправданным.</w:t>
            </w:r>
          </w:p>
        </w:tc>
      </w:tr>
    </w:tbl>
    <w:p w:rsidR="00A51889" w:rsidRDefault="00A518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sectPr w:rsidR="00A5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4BD"/>
    <w:multiLevelType w:val="multilevel"/>
    <w:tmpl w:val="05D204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1D2"/>
    <w:multiLevelType w:val="multilevel"/>
    <w:tmpl w:val="06DE1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D"/>
    <w:multiLevelType w:val="multilevel"/>
    <w:tmpl w:val="091931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352E"/>
    <w:multiLevelType w:val="multilevel"/>
    <w:tmpl w:val="0B6E35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63A50"/>
    <w:multiLevelType w:val="multilevel"/>
    <w:tmpl w:val="11163A5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B61"/>
    <w:multiLevelType w:val="multilevel"/>
    <w:tmpl w:val="18E07B61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60E75"/>
    <w:multiLevelType w:val="multilevel"/>
    <w:tmpl w:val="29460E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90B98"/>
    <w:multiLevelType w:val="multilevel"/>
    <w:tmpl w:val="47E90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45B9E"/>
    <w:multiLevelType w:val="multilevel"/>
    <w:tmpl w:val="48145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26FD"/>
    <w:multiLevelType w:val="multilevel"/>
    <w:tmpl w:val="4B3326FD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0FC6BF7"/>
    <w:multiLevelType w:val="multilevel"/>
    <w:tmpl w:val="60FC6BF7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3697B39"/>
    <w:multiLevelType w:val="multilevel"/>
    <w:tmpl w:val="63697B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71236"/>
    <w:multiLevelType w:val="multilevel"/>
    <w:tmpl w:val="72771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8BF"/>
    <w:multiLevelType w:val="multilevel"/>
    <w:tmpl w:val="7D4218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BC"/>
    <w:rsid w:val="00021908"/>
    <w:rsid w:val="00082877"/>
    <w:rsid w:val="000F4B12"/>
    <w:rsid w:val="00376187"/>
    <w:rsid w:val="00537894"/>
    <w:rsid w:val="005F4B4E"/>
    <w:rsid w:val="006720A0"/>
    <w:rsid w:val="006B1AA1"/>
    <w:rsid w:val="007F6A66"/>
    <w:rsid w:val="00A057BC"/>
    <w:rsid w:val="00A51889"/>
    <w:rsid w:val="00C47861"/>
    <w:rsid w:val="00C81667"/>
    <w:rsid w:val="00E50339"/>
    <w:rsid w:val="00F15437"/>
    <w:rsid w:val="5C6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A42DE-D592-4618-912A-47B0CDA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spacing w:line="256" w:lineRule="auto"/>
      <w:ind w:left="720"/>
      <w:contextualSpacing/>
    </w:pPr>
  </w:style>
  <w:style w:type="paragraph" w:customStyle="1" w:styleId="txt">
    <w:name w:val="t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docrinology.pro/graves-desia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7094</Words>
  <Characters>40441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aliya.klyucharova@outlook.com</dc:creator>
  <cp:lastModifiedBy>Шафкат Курмаев</cp:lastModifiedBy>
  <cp:revision>2</cp:revision>
  <cp:lastPrinted>2020-01-24T08:46:00Z</cp:lastPrinted>
  <dcterms:created xsi:type="dcterms:W3CDTF">2025-05-11T14:19:00Z</dcterms:created>
  <dcterms:modified xsi:type="dcterms:W3CDTF">2025-05-11T14:19:00Z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